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15 w16se w16cid w16 w16cex w16sdtdh wp14">
  <w:body>
    <w:p w:rsidR="00F93160" w:rsidP="00122924" w:rsidRDefault="00F93160" w14:paraId="34F67B4D" w14:textId="77777777">
      <w:pPr>
        <w:spacing w:before="120"/>
        <w:ind w:left="5528" w:hanging="5528"/>
        <w:jc w:val="center"/>
        <w:rPr>
          <w:rFonts w:ascii="Gadugi" w:hAnsi="Gadugi"/>
          <w:b/>
          <w:bCs/>
          <w:color w:val="8AB84C"/>
          <w:sz w:val="44"/>
          <w:szCs w:val="44"/>
        </w:rPr>
      </w:pPr>
      <w:r w:rsidRPr="0FC0AAD1">
        <w:rPr>
          <w:rFonts w:ascii="Gadugi" w:hAnsi="Gadugi"/>
          <w:b/>
          <w:bCs/>
          <w:color w:val="8AB84C"/>
          <w:sz w:val="44"/>
          <w:szCs w:val="44"/>
        </w:rPr>
        <w:t xml:space="preserve">Key lessons from our </w:t>
      </w:r>
      <w:r>
        <w:rPr>
          <w:rFonts w:ascii="Gadugi" w:hAnsi="Gadugi"/>
          <w:b/>
          <w:bCs/>
          <w:color w:val="8AB84C"/>
          <w:sz w:val="44"/>
          <w:szCs w:val="44"/>
        </w:rPr>
        <w:t xml:space="preserve">expert </w:t>
      </w:r>
      <w:r w:rsidRPr="0FC0AAD1">
        <w:rPr>
          <w:rFonts w:ascii="Gadugi" w:hAnsi="Gadugi"/>
          <w:b/>
          <w:bCs/>
          <w:color w:val="8AB84C"/>
          <w:sz w:val="44"/>
          <w:szCs w:val="44"/>
        </w:rPr>
        <w:t>advisory groups</w:t>
      </w:r>
    </w:p>
    <w:p w:rsidRPr="00625AD9" w:rsidR="00F93160" w:rsidP="00F93160" w:rsidRDefault="00F93160" w14:paraId="6EE4F669" w14:textId="77777777">
      <w:pPr>
        <w:ind w:left="5529" w:hanging="5529"/>
        <w:rPr>
          <w:rFonts w:ascii="Gadugi" w:hAnsi="Gadugi"/>
          <w:b/>
          <w:bCs/>
          <w:color w:val="8AB84C"/>
          <w:sz w:val="24"/>
          <w:szCs w:val="24"/>
        </w:rPr>
      </w:pPr>
      <w:r w:rsidRPr="00625AD9">
        <w:rPr>
          <w:rFonts w:ascii="Gadugi" w:hAnsi="Gadugi"/>
          <w:b/>
          <w:bCs/>
          <w:color w:val="8AB84C"/>
          <w:sz w:val="24"/>
          <w:szCs w:val="24"/>
        </w:rPr>
        <w:t>Learning from feedback and evaluation of CAFADA project expert advisory groups</w:t>
      </w:r>
    </w:p>
    <w:p w:rsidRPr="00625AD9" w:rsidR="00F93160" w:rsidP="00F93160" w:rsidRDefault="00F93160" w14:paraId="60CE183F" w14:textId="77777777">
      <w:pPr>
        <w:pStyle w:val="ListParagraph"/>
        <w:shd w:val="clear" w:color="auto" w:fill="FCE181"/>
        <w:spacing w:after="120"/>
        <w:ind w:left="425" w:hanging="425"/>
        <w:contextualSpacing w:val="0"/>
        <w:jc w:val="center"/>
        <w:rPr>
          <w:rFonts w:ascii="Gadugi" w:hAnsi="Gadugi"/>
          <w:b/>
          <w:bCs/>
          <w:color w:val="323E4F" w:themeColor="text2" w:themeShade="BF"/>
          <w:spacing w:val="20"/>
          <w:sz w:val="32"/>
        </w:rPr>
      </w:pPr>
      <w:r w:rsidRPr="00625AD9">
        <w:rPr>
          <w:rFonts w:ascii="Gadugi" w:hAnsi="Gadugi"/>
          <w:b/>
          <w:bCs/>
          <w:color w:val="323E4F" w:themeColor="text2" w:themeShade="BF"/>
          <w:spacing w:val="20"/>
          <w:sz w:val="32"/>
        </w:rPr>
        <w:t>SPACE: Supporting context and resources</w:t>
      </w:r>
    </w:p>
    <w:p w:rsidRPr="00625AD9" w:rsidR="00F93160" w:rsidP="45DA4304" w:rsidRDefault="00F93160" w14:paraId="5D851DB3" w14:textId="77777777" w14:noSpellErr="1">
      <w:pPr>
        <w:pStyle w:val="ListParagraph"/>
        <w:numPr>
          <w:ilvl w:val="1"/>
          <w:numId w:val="1"/>
        </w:numPr>
        <w:shd w:val="clear" w:color="auto" w:fill="FCE181"/>
        <w:spacing w:after="120"/>
        <w:ind w:left="425" w:hanging="425"/>
        <w:rPr>
          <w:rFonts w:ascii="Gadugi" w:hAnsi="Gadugi"/>
          <w:color w:val="323E4F" w:themeColor="text2" w:themeShade="BF"/>
        </w:rPr>
      </w:pPr>
      <w:r w:rsidRPr="45DA4304" w:rsidR="00F93160">
        <w:rPr>
          <w:rFonts w:ascii="Gadugi" w:hAnsi="Gadugi"/>
          <w:b w:val="1"/>
          <w:bCs w:val="1"/>
          <w:color w:val="323E4F" w:themeColor="text2" w:themeTint="FF" w:themeShade="BF"/>
        </w:rPr>
        <w:t>Existing relationships of trust</w:t>
      </w:r>
      <w:r w:rsidRPr="45DA4304" w:rsidR="00F93160">
        <w:rPr>
          <w:rFonts w:ascii="Gadugi" w:hAnsi="Gadugi"/>
          <w:color w:val="323E4F" w:themeColor="text2" w:themeTint="FF" w:themeShade="BF"/>
        </w:rPr>
        <w:t xml:space="preserve"> </w:t>
      </w:r>
      <w:r w:rsidRPr="45DA4304" w:rsidR="00F93160">
        <w:rPr>
          <w:rFonts w:ascii="Gadugi" w:hAnsi="Gadugi"/>
          <w:b w:val="1"/>
          <w:bCs w:val="1"/>
          <w:color w:val="323E4F" w:themeColor="text2" w:themeTint="FF" w:themeShade="BF"/>
        </w:rPr>
        <w:t>between research team members and staff (support worker and management of Non-Governmental Organisation (NGO) partners</w:t>
      </w:r>
      <w:r w:rsidRPr="45DA4304" w:rsidR="00F93160">
        <w:rPr>
          <w:rFonts w:ascii="Gadugi" w:hAnsi="Gadugi"/>
          <w:color w:val="323E4F" w:themeColor="text2" w:themeTint="FF" w:themeShade="BF"/>
        </w:rPr>
        <w:t xml:space="preserve"> </w:t>
      </w:r>
    </w:p>
    <w:p w:rsidRPr="00625AD9" w:rsidR="00F93160" w:rsidP="45DA4304" w:rsidRDefault="00F93160" w14:paraId="56D13CAF" w14:textId="77777777" w14:noSpellErr="1">
      <w:pPr>
        <w:pStyle w:val="ListParagraph"/>
        <w:numPr>
          <w:ilvl w:val="1"/>
          <w:numId w:val="1"/>
        </w:numPr>
        <w:shd w:val="clear" w:color="auto" w:fill="FCE181"/>
        <w:spacing w:after="120"/>
        <w:ind w:left="425" w:hanging="425"/>
        <w:rPr>
          <w:rFonts w:ascii="Gadugi" w:hAnsi="Gadugi"/>
          <w:color w:val="323E4F" w:themeColor="text2" w:themeShade="BF"/>
        </w:rPr>
      </w:pPr>
      <w:r w:rsidRPr="45DA4304" w:rsidR="00F93160">
        <w:rPr>
          <w:rFonts w:ascii="Gadugi" w:hAnsi="Gadugi"/>
          <w:b w:val="1"/>
          <w:bCs w:val="1"/>
          <w:color w:val="323E4F" w:themeColor="text2" w:themeTint="FF" w:themeShade="BF"/>
        </w:rPr>
        <w:t>On-going commitment</w:t>
      </w:r>
      <w:r w:rsidRPr="45DA4304" w:rsidR="00F93160">
        <w:rPr>
          <w:rFonts w:ascii="Gadugi" w:hAnsi="Gadugi"/>
          <w:color w:val="323E4F" w:themeColor="text2" w:themeTint="FF" w:themeShade="BF"/>
        </w:rPr>
        <w:t xml:space="preserve"> </w:t>
      </w:r>
      <w:r w:rsidRPr="45DA4304" w:rsidR="00F93160">
        <w:rPr>
          <w:rFonts w:ascii="Gadugi" w:hAnsi="Gadugi"/>
          <w:b w:val="1"/>
          <w:bCs w:val="1"/>
          <w:color w:val="323E4F" w:themeColor="text2" w:themeTint="FF" w:themeShade="BF"/>
        </w:rPr>
        <w:t>of voluntary sector (NGO) frontline</w:t>
      </w:r>
      <w:r w:rsidRPr="45DA4304" w:rsidR="00F93160">
        <w:rPr>
          <w:rFonts w:ascii="Gadugi" w:hAnsi="Gadugi"/>
          <w:color w:val="323E4F" w:themeColor="text2" w:themeTint="FF" w:themeShade="BF"/>
        </w:rPr>
        <w:t xml:space="preserve"> (support worker) staff – rooted in recognition of benefits of the research</w:t>
      </w:r>
    </w:p>
    <w:p w:rsidRPr="00625AD9" w:rsidR="00F93160" w:rsidP="45DA4304" w:rsidRDefault="00F93160" w14:paraId="3411EB8D" w14:textId="77777777" w14:noSpellErr="1">
      <w:pPr>
        <w:pStyle w:val="ListParagraph"/>
        <w:numPr>
          <w:ilvl w:val="1"/>
          <w:numId w:val="1"/>
        </w:numPr>
        <w:shd w:val="clear" w:color="auto" w:fill="FCE181"/>
        <w:spacing w:after="120"/>
        <w:ind w:left="425" w:hanging="425"/>
        <w:rPr>
          <w:rFonts w:ascii="Gadugi" w:hAnsi="Gadugi"/>
          <w:b w:val="1"/>
          <w:bCs w:val="1"/>
          <w:color w:val="323E4F" w:themeColor="text2" w:themeShade="BF"/>
        </w:rPr>
      </w:pPr>
      <w:r w:rsidRPr="45DA4304" w:rsidR="00F93160">
        <w:rPr>
          <w:rFonts w:ascii="Gadugi" w:hAnsi="Gadugi"/>
          <w:b w:val="1"/>
          <w:bCs w:val="1"/>
          <w:color w:val="323E4F" w:themeColor="text2" w:themeTint="FF" w:themeShade="BF"/>
        </w:rPr>
        <w:t xml:space="preserve">Voluntary sector (NGO) frontline staff </w:t>
      </w:r>
      <w:r w:rsidRPr="45DA4304" w:rsidR="00F93160">
        <w:rPr>
          <w:rFonts w:ascii="Gadugi" w:hAnsi="Gadugi"/>
          <w:color w:val="323E4F" w:themeColor="text2" w:themeTint="FF" w:themeShade="BF"/>
        </w:rPr>
        <w:t>involved in set up, delivery and follow up of sessions</w:t>
      </w:r>
    </w:p>
    <w:p w:rsidRPr="00625AD9" w:rsidR="00F93160" w:rsidP="45DA4304" w:rsidRDefault="00F93160" w14:paraId="2E86623B" w14:textId="77777777" w14:noSpellErr="1">
      <w:pPr>
        <w:pStyle w:val="ListParagraph"/>
        <w:numPr>
          <w:ilvl w:val="1"/>
          <w:numId w:val="1"/>
        </w:numPr>
        <w:shd w:val="clear" w:color="auto" w:fill="FCE181"/>
        <w:spacing w:after="120"/>
        <w:ind w:left="425" w:hanging="425"/>
        <w:rPr>
          <w:rFonts w:ascii="Gadugi" w:hAnsi="Gadugi"/>
          <w:b w:val="1"/>
          <w:bCs w:val="1"/>
          <w:color w:val="323E4F" w:themeColor="text2" w:themeShade="BF"/>
        </w:rPr>
      </w:pPr>
      <w:r w:rsidRPr="45DA4304" w:rsidR="00F93160">
        <w:rPr>
          <w:rFonts w:ascii="Gadugi" w:hAnsi="Gadugi"/>
          <w:b w:val="1"/>
          <w:bCs w:val="1"/>
          <w:color w:val="323E4F" w:themeColor="text2" w:themeTint="FF" w:themeShade="BF"/>
        </w:rPr>
        <w:t xml:space="preserve">‘Buy-In’ and commitment of young experts/ women’s experts to project </w:t>
      </w:r>
      <w:r w:rsidRPr="45DA4304" w:rsidR="00F93160">
        <w:rPr>
          <w:rFonts w:ascii="Gadugi" w:hAnsi="Gadugi"/>
          <w:b w:val="1"/>
          <w:bCs w:val="1"/>
          <w:color w:val="323E4F" w:themeColor="text2" w:themeTint="FF" w:themeShade="BF"/>
        </w:rPr>
        <w:t>objectives</w:t>
      </w:r>
      <w:r w:rsidRPr="45DA4304" w:rsidR="00F93160">
        <w:rPr>
          <w:rFonts w:ascii="Gadugi" w:hAnsi="Gadugi"/>
          <w:b w:val="1"/>
          <w:bCs w:val="1"/>
          <w:color w:val="323E4F" w:themeColor="text2" w:themeTint="FF" w:themeShade="BF"/>
        </w:rPr>
        <w:t>:</w:t>
      </w:r>
      <w:r w:rsidRPr="45DA4304" w:rsidR="00F93160">
        <w:rPr>
          <w:rFonts w:ascii="Gadugi" w:hAnsi="Gadugi"/>
          <w:color w:val="323E4F" w:themeColor="text2" w:themeTint="FF" w:themeShade="BF"/>
        </w:rPr>
        <w:t xml:space="preserve"> belief in their contributions </w:t>
      </w:r>
      <w:r w:rsidRPr="45DA4304" w:rsidR="00F93160">
        <w:rPr>
          <w:rFonts w:ascii="Gadugi" w:hAnsi="Gadugi"/>
          <w:color w:val="323E4F" w:themeColor="text2" w:themeTint="FF" w:themeShade="BF"/>
        </w:rPr>
        <w:t>impacting</w:t>
      </w:r>
      <w:r w:rsidRPr="45DA4304" w:rsidR="00F93160">
        <w:rPr>
          <w:rFonts w:ascii="Gadugi" w:hAnsi="Gadugi"/>
          <w:color w:val="323E4F" w:themeColor="text2" w:themeTint="FF" w:themeShade="BF"/>
        </w:rPr>
        <w:t xml:space="preserve"> change for others</w:t>
      </w:r>
    </w:p>
    <w:p w:rsidRPr="00625AD9" w:rsidR="00F93160" w:rsidP="45DA4304" w:rsidRDefault="00F93160" w14:paraId="74733B63" w14:textId="77777777" w14:noSpellErr="1">
      <w:pPr>
        <w:pStyle w:val="ListParagraph"/>
        <w:numPr>
          <w:ilvl w:val="1"/>
          <w:numId w:val="1"/>
        </w:numPr>
        <w:shd w:val="clear" w:color="auto" w:fill="FCE181"/>
        <w:spacing w:after="120"/>
        <w:ind w:left="425" w:hanging="425"/>
        <w:rPr>
          <w:rFonts w:ascii="Gadugi" w:hAnsi="Gadugi"/>
          <w:b w:val="1"/>
          <w:bCs w:val="1"/>
          <w:color w:val="323E4F" w:themeColor="text2" w:themeShade="BF"/>
        </w:rPr>
      </w:pPr>
      <w:r w:rsidRPr="45DA4304" w:rsidR="00F93160">
        <w:rPr>
          <w:rFonts w:ascii="Gadugi" w:hAnsi="Gadugi"/>
          <w:b w:val="1"/>
          <w:bCs w:val="1"/>
          <w:color w:val="323E4F" w:themeColor="text2" w:themeTint="FF" w:themeShade="BF"/>
        </w:rPr>
        <w:t xml:space="preserve">Experience and skills of facilitators </w:t>
      </w:r>
      <w:r w:rsidRPr="45DA4304" w:rsidR="00F93160">
        <w:rPr>
          <w:rFonts w:ascii="Gadugi" w:hAnsi="Gadugi"/>
          <w:color w:val="323E4F" w:themeColor="text2" w:themeTint="FF" w:themeShade="BF"/>
        </w:rPr>
        <w:t xml:space="preserve">- with specialist knowledge of domestic abuse </w:t>
      </w:r>
    </w:p>
    <w:p w:rsidRPr="00625AD9" w:rsidR="00F93160" w:rsidP="45DA4304" w:rsidRDefault="00F93160" w14:paraId="03BA2986" w14:textId="77777777" w14:noSpellErr="1">
      <w:pPr>
        <w:pStyle w:val="ListParagraph"/>
        <w:numPr>
          <w:ilvl w:val="1"/>
          <w:numId w:val="1"/>
        </w:numPr>
        <w:shd w:val="clear" w:color="auto" w:fill="FCE181"/>
        <w:spacing w:after="120"/>
        <w:ind w:left="425" w:hanging="425"/>
        <w:rPr>
          <w:rFonts w:ascii="Gadugi" w:hAnsi="Gadugi"/>
          <w:b w:val="1"/>
          <w:bCs w:val="1"/>
          <w:color w:val="323E4F" w:themeColor="text2" w:themeShade="BF"/>
        </w:rPr>
      </w:pPr>
      <w:r w:rsidRPr="45DA4304" w:rsidR="00F93160">
        <w:rPr>
          <w:rFonts w:ascii="Gadugi" w:hAnsi="Gadugi"/>
          <w:b w:val="1"/>
          <w:bCs w:val="1"/>
          <w:color w:val="323E4F" w:themeColor="text2" w:themeTint="FF" w:themeShade="BF"/>
        </w:rPr>
        <w:t xml:space="preserve">Funding for research staff time and supporting costs </w:t>
      </w:r>
    </w:p>
    <w:p w:rsidRPr="00625AD9" w:rsidR="00F93160" w:rsidP="00F93160" w:rsidRDefault="00F93160" w14:paraId="17D7A42B" w14:textId="77777777">
      <w:pPr>
        <w:pStyle w:val="ListParagraph"/>
        <w:numPr>
          <w:ilvl w:val="1"/>
          <w:numId w:val="1"/>
        </w:numPr>
        <w:shd w:val="clear" w:color="auto" w:fill="FCE181"/>
        <w:spacing w:after="0"/>
        <w:ind w:left="425" w:hanging="425"/>
        <w:contextualSpacing w:val="0"/>
        <w:rPr>
          <w:rFonts w:ascii="Gadugi" w:hAnsi="Gadugi"/>
          <w:b/>
          <w:color w:val="323E4F" w:themeColor="text2" w:themeShade="BF"/>
        </w:rPr>
      </w:pPr>
      <w:r w:rsidRPr="00625AD9">
        <w:rPr>
          <w:rFonts w:ascii="Gadugi" w:hAnsi="Gadugi"/>
          <w:b/>
          <w:color w:val="323E4F" w:themeColor="text2" w:themeShade="BF"/>
        </w:rPr>
        <w:t>Delays to project provided additional time:</w:t>
      </w:r>
      <w:r w:rsidRPr="00625AD9">
        <w:rPr>
          <w:rFonts w:ascii="Gadugi" w:hAnsi="Gadugi"/>
          <w:color w:val="323E4F" w:themeColor="text2" w:themeShade="BF"/>
        </w:rPr>
        <w:t xml:space="preserve"> supported fuller analysis of data, feedback to groups and invitation for them to review and inform measure design. Reflected the slow nature of meaningful participation work.</w:t>
      </w:r>
    </w:p>
    <w:p w:rsidRPr="00062100" w:rsidR="00F93160" w:rsidP="00F93160" w:rsidRDefault="00F93160" w14:paraId="46C1B8B9" w14:textId="77777777">
      <w:pPr>
        <w:shd w:val="clear" w:color="auto" w:fill="FFFFFF" w:themeFill="background1"/>
        <w:spacing w:after="0"/>
        <w:rPr>
          <w:rFonts w:ascii="Gadugi" w:hAnsi="Gadugi"/>
          <w:b/>
          <w:color w:val="365B6D"/>
        </w:rPr>
      </w:pPr>
    </w:p>
    <w:p w:rsidRPr="00625AD9" w:rsidR="00F93160" w:rsidP="00F93160" w:rsidRDefault="00F93160" w14:paraId="10D86667" w14:textId="77777777">
      <w:pPr>
        <w:pStyle w:val="ListParagraph"/>
        <w:shd w:val="clear" w:color="auto" w:fill="C7D7AC"/>
        <w:spacing w:after="120"/>
        <w:ind w:left="425" w:hanging="425"/>
        <w:contextualSpacing w:val="0"/>
        <w:jc w:val="center"/>
        <w:rPr>
          <w:rFonts w:ascii="Gadugi" w:hAnsi="Gadugi"/>
          <w:b/>
          <w:bCs/>
          <w:color w:val="323E4F" w:themeColor="text2" w:themeShade="BF"/>
          <w:spacing w:val="20"/>
          <w:sz w:val="32"/>
        </w:rPr>
      </w:pPr>
      <w:r w:rsidRPr="00625AD9">
        <w:rPr>
          <w:rFonts w:ascii="Gadugi" w:hAnsi="Gadugi"/>
          <w:b/>
          <w:bCs/>
          <w:color w:val="323E4F" w:themeColor="text2" w:themeShade="BF"/>
          <w:spacing w:val="20"/>
          <w:sz w:val="32"/>
        </w:rPr>
        <w:t xml:space="preserve">VOICE and supporting involvement in ACTIONS </w:t>
      </w:r>
    </w:p>
    <w:p w:rsidRPr="00625AD9" w:rsidR="00F93160" w:rsidP="00F93160" w:rsidRDefault="00F93160" w14:paraId="58DD450C" w14:textId="77777777">
      <w:pPr>
        <w:pStyle w:val="ListParagraph"/>
        <w:numPr>
          <w:ilvl w:val="1"/>
          <w:numId w:val="1"/>
        </w:numPr>
        <w:shd w:val="clear" w:color="auto" w:fill="C7D7AC"/>
        <w:spacing w:after="120"/>
        <w:ind w:left="426" w:hanging="426"/>
        <w:contextualSpacing w:val="0"/>
        <w:rPr>
          <w:rFonts w:ascii="Gadugi" w:hAnsi="Gadugi"/>
          <w:i/>
          <w:color w:val="323E4F" w:themeColor="text2" w:themeShade="BF"/>
        </w:rPr>
      </w:pPr>
      <w:r w:rsidRPr="00625AD9">
        <w:rPr>
          <w:rFonts w:ascii="Gadugi" w:hAnsi="Gadugi"/>
          <w:b/>
          <w:color w:val="323E4F" w:themeColor="text2" w:themeShade="BF"/>
        </w:rPr>
        <w:t xml:space="preserve">Support workers role in ‘transferring trust’ </w:t>
      </w:r>
      <w:r w:rsidRPr="00625AD9">
        <w:rPr>
          <w:rFonts w:ascii="Gadugi" w:hAnsi="Gadugi"/>
          <w:color w:val="323E4F" w:themeColor="text2" w:themeShade="BF"/>
        </w:rPr>
        <w:t xml:space="preserve">(communicating their trust in research staff to women and children – encouraging engagement) </w:t>
      </w:r>
    </w:p>
    <w:p w:rsidRPr="00625AD9" w:rsidR="00F93160" w:rsidP="00F93160" w:rsidRDefault="00F93160" w14:paraId="3BAED013" w14:textId="77777777">
      <w:pPr>
        <w:pStyle w:val="ListParagraph"/>
        <w:numPr>
          <w:ilvl w:val="1"/>
          <w:numId w:val="1"/>
        </w:numPr>
        <w:shd w:val="clear" w:color="auto" w:fill="C7D7AC"/>
        <w:spacing w:after="120"/>
        <w:ind w:left="426" w:hanging="426"/>
        <w:contextualSpacing w:val="0"/>
        <w:rPr>
          <w:rFonts w:ascii="Gadugi" w:hAnsi="Gadugi"/>
          <w:b/>
          <w:i/>
          <w:color w:val="323E4F" w:themeColor="text2" w:themeShade="BF"/>
        </w:rPr>
      </w:pPr>
      <w:r w:rsidRPr="00625AD9">
        <w:rPr>
          <w:rFonts w:ascii="Gadugi" w:hAnsi="Gadugi"/>
          <w:b/>
          <w:color w:val="323E4F" w:themeColor="text2" w:themeShade="BF"/>
        </w:rPr>
        <w:t>Detailed preparation and planning for participation sessions</w:t>
      </w:r>
      <w:r w:rsidRPr="00625AD9">
        <w:rPr>
          <w:rFonts w:ascii="Gadugi" w:hAnsi="Gadugi"/>
          <w:color w:val="323E4F" w:themeColor="text2" w:themeShade="BF"/>
        </w:rPr>
        <w:t>, including collaboration with support workers, ensuring smooth running of groups and trust and ‘ownership’ of support workers</w:t>
      </w:r>
    </w:p>
    <w:p w:rsidRPr="00625AD9" w:rsidR="00F93160" w:rsidP="00F93160" w:rsidRDefault="00F93160" w14:paraId="3C714643" w14:textId="77777777">
      <w:pPr>
        <w:pStyle w:val="ListParagraph"/>
        <w:numPr>
          <w:ilvl w:val="1"/>
          <w:numId w:val="1"/>
        </w:numPr>
        <w:shd w:val="clear" w:color="auto" w:fill="C7D7AC"/>
        <w:spacing w:after="120"/>
        <w:ind w:left="426" w:hanging="426"/>
        <w:contextualSpacing w:val="0"/>
        <w:rPr>
          <w:rFonts w:ascii="Gadugi" w:hAnsi="Gadugi"/>
          <w:i/>
          <w:color w:val="323E4F" w:themeColor="text2" w:themeShade="BF"/>
        </w:rPr>
      </w:pPr>
      <w:r w:rsidRPr="00625AD9">
        <w:rPr>
          <w:rFonts w:ascii="Gadugi" w:hAnsi="Gadugi"/>
          <w:b/>
          <w:color w:val="323E4F" w:themeColor="text2" w:themeShade="BF"/>
        </w:rPr>
        <w:t>Structured consultation work-plan</w:t>
      </w:r>
      <w:r w:rsidRPr="00625AD9">
        <w:rPr>
          <w:rFonts w:ascii="Gadugi" w:hAnsi="Gadugi"/>
          <w:color w:val="323E4F" w:themeColor="text2" w:themeShade="BF"/>
        </w:rPr>
        <w:t xml:space="preserve"> including on-going workshop design; delivering pre-workshop materials to participants; workshop delivery; workshop feedback to participants; data captured and stored. (This required adapting face to face consultation workshops to online space – including use of new technology to support) </w:t>
      </w:r>
    </w:p>
    <w:p w:rsidRPr="00625AD9" w:rsidR="00F93160" w:rsidP="00F93160" w:rsidRDefault="00F93160" w14:paraId="60A15E9E" w14:textId="77777777">
      <w:pPr>
        <w:pStyle w:val="ListParagraph"/>
        <w:numPr>
          <w:ilvl w:val="1"/>
          <w:numId w:val="1"/>
        </w:numPr>
        <w:shd w:val="clear" w:color="auto" w:fill="C7D7AC"/>
        <w:spacing w:after="120"/>
        <w:ind w:left="426" w:hanging="426"/>
        <w:contextualSpacing w:val="0"/>
        <w:rPr>
          <w:rFonts w:ascii="Gadugi" w:hAnsi="Gadugi"/>
          <w:color w:val="323E4F" w:themeColor="text2" w:themeShade="BF"/>
        </w:rPr>
      </w:pPr>
      <w:r w:rsidRPr="00625AD9">
        <w:rPr>
          <w:rFonts w:ascii="Gadugi" w:hAnsi="Gadugi"/>
          <w:b/>
          <w:color w:val="323E4F" w:themeColor="text2" w:themeShade="BF"/>
        </w:rPr>
        <w:t>Ongoing relationship building with participants</w:t>
      </w:r>
      <w:r w:rsidRPr="00625AD9">
        <w:rPr>
          <w:rFonts w:ascii="Gadugi" w:hAnsi="Gadugi"/>
          <w:color w:val="323E4F" w:themeColor="text2" w:themeShade="BF"/>
        </w:rPr>
        <w:t xml:space="preserve"> (through both NGO workers and researchers). Steps taken to ensure participants know they are being ‘held in mind’ and individual relationships and connections created - supported through ‘care </w:t>
      </w:r>
      <w:proofErr w:type="gramStart"/>
      <w:r w:rsidRPr="00625AD9">
        <w:rPr>
          <w:rFonts w:ascii="Gadugi" w:hAnsi="Gadugi"/>
          <w:color w:val="323E4F" w:themeColor="text2" w:themeShade="BF"/>
        </w:rPr>
        <w:t>packages’</w:t>
      </w:r>
      <w:proofErr w:type="gramEnd"/>
      <w:r w:rsidRPr="00625AD9">
        <w:rPr>
          <w:rFonts w:ascii="Gadugi" w:hAnsi="Gadugi"/>
          <w:color w:val="323E4F" w:themeColor="text2" w:themeShade="BF"/>
        </w:rPr>
        <w:t xml:space="preserve"> and personalised correspondence. Check in and warm down at end of sessions. Finding points of connection with individuals during meeting (e.g., through food; remembering of details about individuals; and findings things to laugh about together).</w:t>
      </w:r>
    </w:p>
    <w:p w:rsidRPr="00625AD9" w:rsidR="00F93160" w:rsidP="00F93160" w:rsidRDefault="00F93160" w14:paraId="29B7AAEB" w14:textId="77777777">
      <w:pPr>
        <w:pStyle w:val="ListParagraph"/>
        <w:numPr>
          <w:ilvl w:val="1"/>
          <w:numId w:val="1"/>
        </w:numPr>
        <w:shd w:val="clear" w:color="auto" w:fill="C7D7AC"/>
        <w:spacing w:after="120"/>
        <w:ind w:left="426" w:hanging="426"/>
        <w:contextualSpacing w:val="0"/>
        <w:rPr>
          <w:rFonts w:ascii="Gadugi" w:hAnsi="Gadugi"/>
          <w:color w:val="323E4F" w:themeColor="text2" w:themeShade="BF"/>
        </w:rPr>
      </w:pPr>
      <w:r w:rsidRPr="00625AD9">
        <w:rPr>
          <w:rFonts w:ascii="Gadugi" w:hAnsi="Gadugi"/>
          <w:b/>
          <w:color w:val="323E4F" w:themeColor="text2" w:themeShade="BF"/>
        </w:rPr>
        <w:t xml:space="preserve">Demonstrating to expert advisors and support workers that they were valued </w:t>
      </w:r>
      <w:r w:rsidRPr="00625AD9">
        <w:rPr>
          <w:rFonts w:ascii="Gadugi" w:hAnsi="Gadugi"/>
          <w:color w:val="323E4F" w:themeColor="text2" w:themeShade="BF"/>
        </w:rPr>
        <w:t xml:space="preserve">(and ‘fair exchange’ for contributions) – through vouchers and provision of food and care packages. </w:t>
      </w:r>
    </w:p>
    <w:p w:rsidRPr="00625AD9" w:rsidR="00F93160" w:rsidP="00F93160" w:rsidRDefault="00F93160" w14:paraId="0624B2D8" w14:textId="77777777">
      <w:pPr>
        <w:pStyle w:val="ListParagraph"/>
        <w:numPr>
          <w:ilvl w:val="1"/>
          <w:numId w:val="1"/>
        </w:numPr>
        <w:shd w:val="clear" w:color="auto" w:fill="C7D7AC"/>
        <w:spacing w:after="120"/>
        <w:ind w:left="426" w:hanging="426"/>
        <w:contextualSpacing w:val="0"/>
        <w:rPr>
          <w:rFonts w:ascii="Gadugi" w:hAnsi="Gadugi"/>
          <w:color w:val="323E4F" w:themeColor="text2" w:themeShade="BF"/>
        </w:rPr>
      </w:pPr>
      <w:r w:rsidRPr="00625AD9">
        <w:rPr>
          <w:rFonts w:ascii="Gadugi" w:hAnsi="Gadugi"/>
          <w:b/>
          <w:color w:val="323E4F" w:themeColor="text2" w:themeShade="BF"/>
        </w:rPr>
        <w:t xml:space="preserve">Creation of safe critical thinking and discussion spaces – </w:t>
      </w:r>
      <w:r w:rsidRPr="00625AD9">
        <w:rPr>
          <w:rFonts w:ascii="Gadugi" w:hAnsi="Gadugi"/>
          <w:color w:val="323E4F" w:themeColor="text2" w:themeShade="BF"/>
        </w:rPr>
        <w:t>Workshops incorporated rapport and trust building (‘warm ups’) alongside focused discussion and cool down chats.</w:t>
      </w:r>
    </w:p>
    <w:p w:rsidRPr="00625AD9" w:rsidR="00F93160" w:rsidP="00F93160" w:rsidRDefault="00F93160" w14:paraId="48EDC828" w14:textId="77777777">
      <w:pPr>
        <w:pStyle w:val="ListParagraph"/>
        <w:numPr>
          <w:ilvl w:val="1"/>
          <w:numId w:val="1"/>
        </w:numPr>
        <w:shd w:val="clear" w:color="auto" w:fill="C7D7AC"/>
        <w:spacing w:after="120"/>
        <w:ind w:left="426" w:hanging="426"/>
        <w:contextualSpacing w:val="0"/>
        <w:rPr>
          <w:rFonts w:ascii="Gadugi" w:hAnsi="Gadugi"/>
          <w:b/>
          <w:color w:val="323E4F" w:themeColor="text2" w:themeShade="BF"/>
        </w:rPr>
      </w:pPr>
      <w:r w:rsidRPr="00625AD9">
        <w:rPr>
          <w:rFonts w:ascii="Gadugi" w:hAnsi="Gadugi"/>
          <w:b/>
          <w:color w:val="323E4F" w:themeColor="text2" w:themeShade="BF"/>
        </w:rPr>
        <w:t>Regular and accessible feedback to participants on impact and influence of work</w:t>
      </w:r>
      <w:r w:rsidRPr="00625AD9">
        <w:rPr>
          <w:rFonts w:ascii="Gadugi" w:hAnsi="Gadugi"/>
          <w:color w:val="323E4F" w:themeColor="text2" w:themeShade="BF"/>
        </w:rPr>
        <w:t xml:space="preserve"> </w:t>
      </w:r>
    </w:p>
    <w:p w:rsidRPr="00625AD9" w:rsidR="00F93160" w:rsidP="00F93160" w:rsidRDefault="00F93160" w14:paraId="65248F81" w14:textId="77777777">
      <w:pPr>
        <w:pStyle w:val="ListParagraph"/>
        <w:numPr>
          <w:ilvl w:val="1"/>
          <w:numId w:val="1"/>
        </w:numPr>
        <w:shd w:val="clear" w:color="auto" w:fill="C7D7AC"/>
        <w:spacing w:after="120"/>
        <w:ind w:left="426" w:hanging="426"/>
        <w:contextualSpacing w:val="0"/>
        <w:rPr>
          <w:rFonts w:ascii="Gadugi" w:hAnsi="Gadugi"/>
          <w:color w:val="323E4F" w:themeColor="text2" w:themeShade="BF"/>
        </w:rPr>
      </w:pPr>
      <w:r w:rsidRPr="00625AD9">
        <w:rPr>
          <w:rFonts w:ascii="Gadugi" w:hAnsi="Gadugi"/>
          <w:b/>
          <w:color w:val="323E4F" w:themeColor="text2" w:themeShade="BF"/>
        </w:rPr>
        <w:t xml:space="preserve">Consultation design to support a range of communication preferences and styles – </w:t>
      </w:r>
      <w:r w:rsidRPr="00625AD9">
        <w:rPr>
          <w:rFonts w:ascii="Gadugi" w:hAnsi="Gadugi"/>
          <w:color w:val="323E4F" w:themeColor="text2" w:themeShade="BF"/>
        </w:rPr>
        <w:t xml:space="preserve">options for participants about how to respond both within workshops and outside (worksheets; online chat box; ‘padlet’; zoom whiteboard; verbal discussion in pairs; small groups; 1:1). </w:t>
      </w:r>
    </w:p>
    <w:p w:rsidR="00F93160" w:rsidP="00F93160" w:rsidRDefault="00F93160" w14:paraId="46A2340F" w14:textId="77777777">
      <w:pPr>
        <w:pStyle w:val="ListParagraph"/>
        <w:shd w:val="clear" w:color="auto" w:fill="FFFFFF" w:themeFill="background1"/>
        <w:spacing w:after="120"/>
        <w:ind w:left="426"/>
        <w:contextualSpacing w:val="0"/>
        <w:rPr>
          <w:rFonts w:ascii="Gadugi" w:hAnsi="Gadugi"/>
          <w:color w:val="365B6D"/>
        </w:rPr>
      </w:pPr>
    </w:p>
    <w:p w:rsidRPr="00841FE2" w:rsidR="00F93160" w:rsidP="00F93160" w:rsidRDefault="00F93160" w14:paraId="57B40860" w14:textId="77777777">
      <w:pPr>
        <w:pStyle w:val="ListParagraph"/>
        <w:shd w:val="clear" w:color="auto" w:fill="FFFFFF" w:themeFill="background1"/>
        <w:spacing w:after="120"/>
        <w:ind w:left="426"/>
        <w:contextualSpacing w:val="0"/>
        <w:rPr>
          <w:rFonts w:ascii="Gadugi" w:hAnsi="Gadugi"/>
          <w:color w:val="365B6D"/>
        </w:rPr>
      </w:pPr>
    </w:p>
    <w:p w:rsidRPr="00625AD9" w:rsidR="00F93160" w:rsidP="00F93160" w:rsidRDefault="00F93160" w14:paraId="30B23E6A" w14:textId="77777777">
      <w:pPr>
        <w:pStyle w:val="ListParagraph"/>
        <w:shd w:val="clear" w:color="auto" w:fill="00D2B9"/>
        <w:spacing w:after="120" w:line="240" w:lineRule="auto"/>
        <w:ind w:left="425" w:hanging="425"/>
        <w:contextualSpacing w:val="0"/>
        <w:jc w:val="center"/>
        <w:rPr>
          <w:rFonts w:ascii="Gadugi" w:hAnsi="Gadugi"/>
          <w:b/>
          <w:bCs/>
          <w:color w:val="323E4F" w:themeColor="text2" w:themeShade="BF"/>
          <w:spacing w:val="20"/>
          <w:sz w:val="32"/>
          <w:szCs w:val="32"/>
        </w:rPr>
      </w:pPr>
      <w:r w:rsidRPr="00625AD9">
        <w:rPr>
          <w:rFonts w:ascii="Gadugi" w:hAnsi="Gadugi"/>
          <w:b/>
          <w:bCs/>
          <w:color w:val="323E4F" w:themeColor="text2" w:themeShade="BF"/>
          <w:spacing w:val="20"/>
          <w:sz w:val="32"/>
          <w:szCs w:val="32"/>
        </w:rPr>
        <w:t>Barriers or limiting factors for expert groups</w:t>
      </w:r>
    </w:p>
    <w:p w:rsidRPr="00625AD9" w:rsidR="00F93160" w:rsidP="00F93160" w:rsidRDefault="00F93160" w14:paraId="411145CB" w14:textId="77777777">
      <w:pPr>
        <w:pStyle w:val="ListParagraph"/>
        <w:numPr>
          <w:ilvl w:val="0"/>
          <w:numId w:val="2"/>
        </w:numPr>
        <w:shd w:val="clear" w:color="auto" w:fill="00D2B9"/>
        <w:spacing w:after="120"/>
        <w:ind w:left="426" w:hanging="426"/>
        <w:contextualSpacing w:val="0"/>
        <w:rPr>
          <w:rFonts w:ascii="Gadugi" w:hAnsi="Gadugi"/>
          <w:b/>
          <w:color w:val="323E4F" w:themeColor="text2" w:themeShade="BF"/>
        </w:rPr>
      </w:pPr>
      <w:r w:rsidRPr="00625AD9">
        <w:rPr>
          <w:rFonts w:ascii="Gadugi" w:hAnsi="Gadugi"/>
          <w:b/>
          <w:color w:val="323E4F" w:themeColor="text2" w:themeShade="BF"/>
        </w:rPr>
        <w:t>Staff capacity</w:t>
      </w:r>
      <w:r w:rsidRPr="00625AD9">
        <w:rPr>
          <w:rFonts w:ascii="Gadugi" w:hAnsi="Gadugi"/>
          <w:color w:val="323E4F" w:themeColor="text2" w:themeShade="BF"/>
        </w:rPr>
        <w:t xml:space="preserve"> – needed to draw on staff from other research work streams to support running of groups</w:t>
      </w:r>
    </w:p>
    <w:p w:rsidRPr="00625AD9" w:rsidR="00F93160" w:rsidP="00F93160" w:rsidRDefault="00F93160" w14:paraId="4EAF5C0E" w14:textId="77777777">
      <w:pPr>
        <w:pStyle w:val="ListParagraph"/>
        <w:numPr>
          <w:ilvl w:val="0"/>
          <w:numId w:val="2"/>
        </w:numPr>
        <w:shd w:val="clear" w:color="auto" w:fill="00D2B9"/>
        <w:spacing w:after="120"/>
        <w:ind w:left="426" w:hanging="426"/>
        <w:contextualSpacing w:val="0"/>
        <w:rPr>
          <w:rFonts w:ascii="Gadugi" w:hAnsi="Gadugi"/>
          <w:b/>
          <w:color w:val="323E4F" w:themeColor="text2" w:themeShade="BF"/>
        </w:rPr>
      </w:pPr>
      <w:r w:rsidRPr="00625AD9">
        <w:rPr>
          <w:rFonts w:ascii="Gadugi" w:hAnsi="Gadugi"/>
          <w:b/>
          <w:color w:val="323E4F" w:themeColor="text2" w:themeShade="BF"/>
        </w:rPr>
        <w:t xml:space="preserve">Young expert group member time to be involved </w:t>
      </w:r>
      <w:r w:rsidRPr="00625AD9">
        <w:rPr>
          <w:rFonts w:ascii="Gadugi" w:hAnsi="Gadugi"/>
          <w:bCs/>
          <w:color w:val="323E4F" w:themeColor="text2" w:themeShade="BF"/>
        </w:rPr>
        <w:t>(and their changing, wider commitments)</w:t>
      </w:r>
    </w:p>
    <w:p w:rsidRPr="00625AD9" w:rsidR="00F93160" w:rsidP="00F93160" w:rsidRDefault="00F93160" w14:paraId="386B60B9" w14:textId="77777777">
      <w:pPr>
        <w:pStyle w:val="ListParagraph"/>
        <w:numPr>
          <w:ilvl w:val="0"/>
          <w:numId w:val="2"/>
        </w:numPr>
        <w:shd w:val="clear" w:color="auto" w:fill="00D2B9"/>
        <w:spacing w:after="120"/>
        <w:ind w:left="426" w:hanging="426"/>
        <w:contextualSpacing w:val="0"/>
        <w:rPr>
          <w:rFonts w:ascii="Gadugi" w:hAnsi="Gadugi"/>
          <w:color w:val="323E4F" w:themeColor="text2" w:themeShade="BF"/>
        </w:rPr>
      </w:pPr>
      <w:r w:rsidRPr="00625AD9">
        <w:rPr>
          <w:rFonts w:ascii="Gadugi" w:hAnsi="Gadugi"/>
          <w:b/>
          <w:color w:val="323E4F" w:themeColor="text2" w:themeShade="BF"/>
        </w:rPr>
        <w:t xml:space="preserve">Limitations of using online spaces </w:t>
      </w:r>
      <w:r w:rsidRPr="00625AD9">
        <w:rPr>
          <w:rFonts w:ascii="Gadugi" w:hAnsi="Gadugi"/>
          <w:color w:val="323E4F" w:themeColor="text2" w:themeShade="BF"/>
        </w:rPr>
        <w:t xml:space="preserve">(shorter sessions; zoom fatigue; group dynamics harder to ‘read’ and facilitate). Not feasible to incorporate feedback and evaluation within shorter sessions. </w:t>
      </w:r>
    </w:p>
    <w:p w:rsidRPr="00625AD9" w:rsidR="00F93160" w:rsidP="00F93160" w:rsidRDefault="00F93160" w14:paraId="0A6A78AB" w14:textId="77777777">
      <w:pPr>
        <w:pStyle w:val="ListParagraph"/>
        <w:numPr>
          <w:ilvl w:val="0"/>
          <w:numId w:val="2"/>
        </w:numPr>
        <w:shd w:val="clear" w:color="auto" w:fill="00D2B9"/>
        <w:spacing w:after="120"/>
        <w:ind w:left="426" w:hanging="426"/>
        <w:contextualSpacing w:val="0"/>
        <w:rPr>
          <w:rFonts w:ascii="Gadugi" w:hAnsi="Gadugi"/>
          <w:color w:val="323E4F" w:themeColor="text2" w:themeShade="BF"/>
        </w:rPr>
      </w:pPr>
      <w:r w:rsidRPr="00625AD9">
        <w:rPr>
          <w:rFonts w:ascii="Gadugi" w:hAnsi="Gadugi"/>
          <w:b/>
          <w:color w:val="323E4F" w:themeColor="text2" w:themeShade="BF"/>
        </w:rPr>
        <w:t>Attempting to use different or multiple technologies</w:t>
      </w:r>
      <w:r w:rsidRPr="00625AD9">
        <w:rPr>
          <w:rFonts w:ascii="Gadugi" w:hAnsi="Gadugi"/>
          <w:color w:val="323E4F" w:themeColor="text2" w:themeShade="BF"/>
        </w:rPr>
        <w:t xml:space="preserve"> – added a layer of complexity and sometimes anxiety to work (although enjoyed by some)</w:t>
      </w:r>
    </w:p>
    <w:p w:rsidRPr="00625AD9" w:rsidR="00F93160" w:rsidP="00F93160" w:rsidRDefault="00F93160" w14:paraId="31A3FB55" w14:textId="77777777">
      <w:pPr>
        <w:pStyle w:val="ListParagraph"/>
        <w:numPr>
          <w:ilvl w:val="0"/>
          <w:numId w:val="2"/>
        </w:numPr>
        <w:shd w:val="clear" w:color="auto" w:fill="00D2B9"/>
        <w:spacing w:after="120"/>
        <w:ind w:left="426" w:hanging="426"/>
        <w:contextualSpacing w:val="0"/>
        <w:rPr>
          <w:rFonts w:ascii="Gadugi" w:hAnsi="Gadugi"/>
          <w:b/>
          <w:color w:val="323E4F" w:themeColor="text2" w:themeShade="BF"/>
        </w:rPr>
      </w:pPr>
      <w:r w:rsidRPr="00625AD9">
        <w:rPr>
          <w:rFonts w:ascii="Gadugi" w:hAnsi="Gadugi"/>
          <w:b/>
          <w:color w:val="323E4F" w:themeColor="text2" w:themeShade="BF"/>
        </w:rPr>
        <w:t>Wider project momentum</w:t>
      </w:r>
      <w:r w:rsidRPr="00625AD9">
        <w:rPr>
          <w:rFonts w:ascii="Gadugi" w:hAnsi="Gadugi"/>
          <w:color w:val="323E4F" w:themeColor="text2" w:themeShade="BF"/>
        </w:rPr>
        <w:t xml:space="preserve"> (due to COVID and impact on wider CAFADA progress – delayed feedback to participants – not all young experts were still engaged with NGO gatekeepers by time of feedback) </w:t>
      </w:r>
    </w:p>
    <w:p w:rsidRPr="00625AD9" w:rsidR="00F93160" w:rsidP="00F93160" w:rsidRDefault="00F93160" w14:paraId="7AEDC318" w14:textId="77777777">
      <w:pPr>
        <w:pStyle w:val="ListParagraph"/>
        <w:numPr>
          <w:ilvl w:val="0"/>
          <w:numId w:val="2"/>
        </w:numPr>
        <w:shd w:val="clear" w:color="auto" w:fill="00D2B9"/>
        <w:spacing w:after="120"/>
        <w:ind w:left="426" w:hanging="426"/>
        <w:contextualSpacing w:val="0"/>
        <w:rPr>
          <w:rFonts w:ascii="Gadugi" w:hAnsi="Gadugi"/>
          <w:b/>
          <w:color w:val="323E4F" w:themeColor="text2" w:themeShade="BF"/>
        </w:rPr>
      </w:pPr>
      <w:r w:rsidRPr="00625AD9">
        <w:rPr>
          <w:rFonts w:ascii="Gadugi" w:hAnsi="Gadugi"/>
          <w:b/>
          <w:color w:val="323E4F" w:themeColor="text2" w:themeShade="BF"/>
        </w:rPr>
        <w:t>Need for clearer/ more timely feedback and ‘endings’</w:t>
      </w:r>
      <w:r w:rsidRPr="00625AD9">
        <w:rPr>
          <w:rFonts w:ascii="Gadugi" w:hAnsi="Gadugi"/>
          <w:color w:val="323E4F" w:themeColor="text2" w:themeShade="BF"/>
        </w:rPr>
        <w:t>: recognition that participants’ circumstances could change quickly and needing to ensure feedback or endings were not delayed significantly after consultation/ participation processes</w:t>
      </w:r>
    </w:p>
    <w:p w:rsidRPr="00625AD9" w:rsidR="00F93160" w:rsidP="00F93160" w:rsidRDefault="00F93160" w14:paraId="0E625A0C" w14:textId="77777777">
      <w:pPr>
        <w:rPr>
          <w:rFonts w:ascii="Gadugi" w:hAnsi="Gadugi"/>
          <w:color w:val="323E4F" w:themeColor="text2" w:themeShade="BF"/>
          <w:sz w:val="32"/>
          <w:szCs w:val="24"/>
        </w:rPr>
      </w:pPr>
    </w:p>
    <w:p w:rsidR="00F93160" w:rsidP="00F93160" w:rsidRDefault="00F93160" w14:paraId="6E25283E" w14:textId="77777777">
      <w:pPr>
        <w:jc w:val="center"/>
        <w:rPr>
          <w:rFonts w:ascii="Gadugi" w:hAnsi="Gadugi"/>
          <w:b/>
          <w:bCs/>
          <w:color w:val="8AB84C"/>
          <w:sz w:val="44"/>
          <w:szCs w:val="44"/>
        </w:rPr>
      </w:pPr>
      <w:r w:rsidRPr="006E17C5">
        <w:rPr>
          <w:rFonts w:ascii="Gadugi" w:hAnsi="Gadugi"/>
          <w:b/>
          <w:bCs/>
          <w:noProof/>
          <w:color w:val="8AB84C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160A92" wp14:editId="45A03CF6">
                <wp:simplePos x="0" y="0"/>
                <wp:positionH relativeFrom="column">
                  <wp:posOffset>304800</wp:posOffset>
                </wp:positionH>
                <wp:positionV relativeFrom="paragraph">
                  <wp:posOffset>4341495</wp:posOffset>
                </wp:positionV>
                <wp:extent cx="4962525" cy="61912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E17C5" w:rsidR="00F93160" w:rsidP="00F93160" w:rsidRDefault="00F93160" w14:paraId="07B5856D" w14:textId="77777777">
                            <w:pPr>
                              <w:rPr>
                                <w:rFonts w:ascii="Gadugi" w:hAnsi="Gadugi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6E17C5">
                              <w:rPr>
                                <w:rFonts w:ascii="Gadugi" w:hAnsi="Gadugi"/>
                                <w:color w:val="323E4F" w:themeColor="text2" w:themeShade="BF"/>
                                <w:sz w:val="24"/>
                                <w:szCs w:val="24"/>
                              </w:rPr>
                              <w:t>Important skillset and values for expert group facilitation identified by CAFADA expert group participants</w:t>
                            </w:r>
                          </w:p>
                          <w:p w:rsidR="00F93160" w:rsidP="00F93160" w:rsidRDefault="00F93160" w14:paraId="59CC6610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1160A92">
                <v:stroke joinstyle="miter"/>
                <v:path gradientshapeok="t" o:connecttype="rect"/>
              </v:shapetype>
              <v:shape id="Text Box 2" style="position:absolute;left:0;text-align:left;margin-left:24pt;margin-top:341.85pt;width:390.75pt;height: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AbIwIAAEcEAAAOAAAAZHJzL2Uyb0RvYy54bWysU9tu2zAMfR+wfxD0vviCJG2MOEWXLsOA&#10;rhvQ7gMUWY6FSaImKbGzrx8lp2l2exmmB4EUqUPykFzeDFqRg3BegqlpMckpEYZDI82upl+eNm+u&#10;KfGBmYYpMKKmR+Hpzer1q2VvK1FCB6oRjiCI8VVva9qFYKss87wTmvkJWGHQ2ILTLKDqdlnjWI/o&#10;WmVlns+zHlxjHXDhPb7ejUa6SvhtK3j41LZeBKJqirmFdLt0b+OdrZas2jlmO8lPabB/yEIzaTDo&#10;GeqOBUb2Tv4GpSV34KENEw46g7aVXKQasJoi/6Wax45ZkWpBcrw90+T/Hyx/OHx2RDY1LYsrSgzT&#10;2KQnMQTyFgZSRn566yt0e7ToGAZ8xj6nWr29B/7VEwPrjpmduHUO+k6wBvMr4s/s4uuI4yPItv8I&#10;DYZh+wAJaGidjuQhHQTRsU/Hc29iKhwfp4t5OStnlHC0zYtFgXIMwarn39b58F6AJlGoqcPeJ3R2&#10;uPdhdH12icE8KNlspFJJcbvtWjlyYDgnm3RO6D+5KUN6rG2Rz/KRgb9i5On8CUPLgBOvpK7p9dmJ&#10;VZG3d6bBPFkVmFSjjOUpcyIycjeyGIbtgI6R3S00R6TUwTjZuIkodOC+U9LjVNfUf9szJyhRHwy2&#10;ZVFMp3ENkjKdXZWouEvL9tLCDEeomgZKRnEd0urEHA3cYvtamZh9yeSUK05r6s1ps+I6XOrJ62X/&#10;Vz8AAAD//wMAUEsDBBQABgAIAAAAIQAJseWc3wAAAAoBAAAPAAAAZHJzL2Rvd25yZXYueG1sTI/B&#10;TsMwEETvSPyDtUjcqNOQtm7IpkJI5ExbUK9ObOKIeB3Fbpr+PeZEj6MZzbwpdrPt2aRH3zlCWC4S&#10;YJoapzpqET6P708CmA+SlOwdaYSr9rAr7+8KmSt3ob2eDqFlsYR8LhFMCEPOuW+MttIv3KApet9u&#10;tDJEObZcjfISy23P0yRZcys7igtGDvrN6ObncLYIK3/6yKZr3ZlWfFW8mu0+O1aIjw/z6wuwoOfw&#10;H4Y//IgOZWSq3ZmUZz1CJuKVgLAWzxtgMSDS7QpYjbARyxR4WfDbC+UvAAAA//8DAFBLAQItABQA&#10;BgAIAAAAIQC2gziS/gAAAOEBAAATAAAAAAAAAAAAAAAAAAAAAABbQ29udGVudF9UeXBlc10ueG1s&#10;UEsBAi0AFAAGAAgAAAAhADj9If/WAAAAlAEAAAsAAAAAAAAAAAAAAAAALwEAAF9yZWxzLy5yZWxz&#10;UEsBAi0AFAAGAAgAAAAhAE7GABsjAgAARwQAAA4AAAAAAAAAAAAAAAAALgIAAGRycy9lMm9Eb2Mu&#10;eG1sUEsBAi0AFAAGAAgAAAAhAAmx5ZzfAAAACgEAAA8AAAAAAAAAAAAAAAAAfQQAAGRycy9kb3du&#10;cmV2LnhtbFBLBQYAAAAABAAEAPMAAACJBQAAAAA=&#10;">
                <v:textbox>
                  <w:txbxContent>
                    <w:p w:rsidRPr="006E17C5" w:rsidR="00F93160" w:rsidP="00F93160" w:rsidRDefault="00F93160" w14:paraId="07B5856D" w14:textId="77777777">
                      <w:pPr>
                        <w:rPr>
                          <w:rFonts w:ascii="Gadugi" w:hAnsi="Gadugi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6E17C5">
                        <w:rPr>
                          <w:rFonts w:ascii="Gadugi" w:hAnsi="Gadugi"/>
                          <w:color w:val="323E4F" w:themeColor="text2" w:themeShade="BF"/>
                          <w:sz w:val="24"/>
                          <w:szCs w:val="24"/>
                        </w:rPr>
                        <w:t>Important skillset and values for expert group facilitation identified by CAFADA expert group participants</w:t>
                      </w:r>
                    </w:p>
                    <w:p w:rsidR="00F93160" w:rsidP="00F93160" w:rsidRDefault="00F93160" w14:paraId="59CC6610" w14:textId="77777777"/>
                  </w:txbxContent>
                </v:textbox>
              </v:shape>
            </w:pict>
          </mc:Fallback>
        </mc:AlternateContent>
      </w:r>
      <w:r w:rsidRPr="00841FE2">
        <w:rPr>
          <w:rFonts w:ascii="Gadugi" w:hAnsi="Gadugi"/>
          <w:shd w:val="clear" w:color="auto" w:fill="FFFFFF" w:themeFill="background1"/>
        </w:rPr>
        <w:drawing>
          <wp:inline distT="0" distB="0" distL="0" distR="0" wp14:anchorId="2F4F7AE1" wp14:editId="1729C9CE">
            <wp:extent cx="6316394" cy="4465955"/>
            <wp:effectExtent l="19050" t="19050" r="27305" b="1079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Pr="00841FE2" w:rsidR="00F93160" w:rsidP="00F93160" w:rsidRDefault="00F93160" w14:paraId="2285C0F8" w14:textId="77777777">
      <w:pPr>
        <w:rPr>
          <w:rFonts w:ascii="Gadugi" w:hAnsi="Gadugi"/>
          <w:sz w:val="32"/>
          <w:szCs w:val="24"/>
        </w:rPr>
      </w:pPr>
    </w:p>
    <w:p w:rsidRPr="00841FE2" w:rsidR="00F93160" w:rsidP="00F93160" w:rsidRDefault="00F93160" w14:paraId="0048BA0C" w14:textId="77777777">
      <w:pPr>
        <w:rPr>
          <w:rFonts w:ascii="Gadugi" w:hAnsi="Gadugi"/>
        </w:rPr>
      </w:pPr>
    </w:p>
    <w:p w:rsidR="00A21150" w:rsidRDefault="00A21150" w14:paraId="5B988571" w14:textId="77777777"/>
    <w:sectPr w:rsidR="00A21150" w:rsidSect="00122924">
      <w:headerReference w:type="first" r:id="rId12"/>
      <w:pgSz w:w="11906" w:h="16838" w:orient="portrait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5DBC" w:rsidP="00122924" w:rsidRDefault="00185DBC" w14:paraId="461C34C9" w14:textId="77777777">
      <w:pPr>
        <w:spacing w:after="0" w:line="240" w:lineRule="auto"/>
      </w:pPr>
      <w:r>
        <w:separator/>
      </w:r>
    </w:p>
  </w:endnote>
  <w:endnote w:type="continuationSeparator" w:id="0">
    <w:p w:rsidR="00185DBC" w:rsidP="00122924" w:rsidRDefault="00185DBC" w14:paraId="07675B7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5DBC" w:rsidP="00122924" w:rsidRDefault="00185DBC" w14:paraId="3132749E" w14:textId="77777777">
      <w:pPr>
        <w:spacing w:after="0" w:line="240" w:lineRule="auto"/>
      </w:pPr>
      <w:r>
        <w:separator/>
      </w:r>
    </w:p>
  </w:footnote>
  <w:footnote w:type="continuationSeparator" w:id="0">
    <w:p w:rsidR="00185DBC" w:rsidP="00122924" w:rsidRDefault="00185DBC" w14:paraId="50276F0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p w:rsidR="00122924" w:rsidRDefault="00122924" w14:paraId="54ED8514" w14:textId="163EDEE8">
    <w:pPr>
      <w:pStyle w:val="Header"/>
    </w:pPr>
    <w:r w:rsidRPr="008C468A">
      <w:rPr>
        <w:noProof/>
      </w:rPr>
      <w:drawing>
        <wp:anchor distT="0" distB="0" distL="114300" distR="114300" simplePos="0" relativeHeight="251659264" behindDoc="0" locked="0" layoutInCell="1" allowOverlap="1" wp14:anchorId="04FA1B10" wp14:editId="5EEDE39B">
          <wp:simplePos x="0" y="0"/>
          <wp:positionH relativeFrom="column">
            <wp:posOffset>5400040</wp:posOffset>
          </wp:positionH>
          <wp:positionV relativeFrom="paragraph">
            <wp:posOffset>-363220</wp:posOffset>
          </wp:positionV>
          <wp:extent cx="1533525" cy="532765"/>
          <wp:effectExtent l="0" t="0" r="9525" b="635"/>
          <wp:wrapSquare wrapText="bothSides"/>
          <wp:docPr id="10" name="Picture 10" descr="A close 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6E58347-E4AD-3F4A-B662-624F2C5CA79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close up of a logo&#10;&#10;Description automatically generated">
                    <a:extLst>
                      <a:ext uri="{FF2B5EF4-FFF2-40B4-BE49-F238E27FC236}">
                        <a16:creationId xmlns:a16="http://schemas.microsoft.com/office/drawing/2014/main" id="{96E58347-E4AD-3F4A-B662-624F2C5CA79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39" b="10169"/>
                  <a:stretch/>
                </pic:blipFill>
                <pic:spPr>
                  <a:xfrm>
                    <a:off x="0" y="0"/>
                    <a:ext cx="153352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0390"/>
    <w:multiLevelType w:val="hybridMultilevel"/>
    <w:tmpl w:val="CF5812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07153"/>
    <w:multiLevelType w:val="hybridMultilevel"/>
    <w:tmpl w:val="BCC4643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60"/>
    <w:rsid w:val="00122924"/>
    <w:rsid w:val="00185DBC"/>
    <w:rsid w:val="004524F8"/>
    <w:rsid w:val="008551F2"/>
    <w:rsid w:val="00A21150"/>
    <w:rsid w:val="00F93160"/>
    <w:rsid w:val="45DA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5BE9F"/>
  <w15:chartTrackingRefBased/>
  <w15:docId w15:val="{369D3DE8-792F-48BE-B015-9C58E1FE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316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1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292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22924"/>
  </w:style>
  <w:style w:type="paragraph" w:styleId="Footer">
    <w:name w:val="footer"/>
    <w:basedOn w:val="Normal"/>
    <w:link w:val="FooterChar"/>
    <w:uiPriority w:val="99"/>
    <w:unhideWhenUsed/>
    <w:rsid w:val="0012292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22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diagramLayout" Target="diagrams/layout1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diagramData" Target="diagrams/data1.xml" Id="rId7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07/relationships/diagramDrawing" Target="diagrams/drawing1.xml" Id="rId11" /><Relationship Type="http://schemas.openxmlformats.org/officeDocument/2006/relationships/footnotes" Target="footnotes.xml" Id="rId5" /><Relationship Type="http://schemas.openxmlformats.org/officeDocument/2006/relationships/diagramColors" Target="diagrams/colors1.xml" Id="rId10" /><Relationship Type="http://schemas.openxmlformats.org/officeDocument/2006/relationships/webSettings" Target="webSettings.xml" Id="rId4" /><Relationship Type="http://schemas.openxmlformats.org/officeDocument/2006/relationships/diagramQuickStyle" Target="diagrams/quickStyle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EE295C-0DA5-4609-8A18-CF308CA436E7}" type="doc">
      <dgm:prSet loTypeId="urn:microsoft.com/office/officeart/2005/8/layout/venn1" loCatId="relationship" qsTypeId="urn:microsoft.com/office/officeart/2005/8/quickstyle/simple1" qsCatId="simple" csTypeId="urn:microsoft.com/office/officeart/2005/8/colors/colorful5" csCatId="colorful" phldr="1"/>
      <dgm:spPr/>
    </dgm:pt>
    <dgm:pt modelId="{D131EC6A-17F2-4B28-BEE1-236BC4C4FDE6}">
      <dgm:prSet phldrT="[Text]"/>
      <dgm:spPr/>
      <dgm:t>
        <a:bodyPr/>
        <a:lstStyle/>
        <a:p>
          <a:r>
            <a:rPr lang="en-US" b="1" kern="0" baseline="0">
              <a:latin typeface="Gadugi" panose="020B0502040204020203" pitchFamily="34" charset="0"/>
              <a:ea typeface="Gadugi" panose="020B0502040204020203" pitchFamily="34" charset="0"/>
            </a:rPr>
            <a:t>Communicating Care</a:t>
          </a:r>
        </a:p>
      </dgm:t>
    </dgm:pt>
    <dgm:pt modelId="{212AA5F3-EF3D-4A21-B7BB-226DD841E64C}" type="parTrans" cxnId="{D4A5776A-3472-42E1-BFE7-05141DB879BB}">
      <dgm:prSet/>
      <dgm:spPr/>
      <dgm:t>
        <a:bodyPr/>
        <a:lstStyle/>
        <a:p>
          <a:endParaRPr lang="en-US"/>
        </a:p>
      </dgm:t>
    </dgm:pt>
    <dgm:pt modelId="{300CE782-0DB4-4F26-A143-8A3CD2BFC0FB}" type="sibTrans" cxnId="{D4A5776A-3472-42E1-BFE7-05141DB879BB}">
      <dgm:prSet/>
      <dgm:spPr/>
      <dgm:t>
        <a:bodyPr/>
        <a:lstStyle/>
        <a:p>
          <a:endParaRPr lang="en-US"/>
        </a:p>
      </dgm:t>
    </dgm:pt>
    <dgm:pt modelId="{2AE586FB-1112-4E2A-84C8-8825668DF8ED}">
      <dgm:prSet phldrT="[Text]" custT="1"/>
      <dgm:spPr/>
      <dgm:t>
        <a:bodyPr/>
        <a:lstStyle/>
        <a:p>
          <a:pPr>
            <a:lnSpc>
              <a:spcPct val="70000"/>
            </a:lnSpc>
          </a:pPr>
          <a:r>
            <a:rPr lang="en-US" sz="1600" b="1">
              <a:latin typeface="Gadugi" panose="020B0502040204020203" pitchFamily="34" charset="0"/>
              <a:ea typeface="Gadugi" panose="020B0502040204020203" pitchFamily="34" charset="0"/>
            </a:rPr>
            <a:t>Making participants feel valued </a:t>
          </a:r>
        </a:p>
        <a:p>
          <a:pPr>
            <a:lnSpc>
              <a:spcPct val="70000"/>
            </a:lnSpc>
          </a:pPr>
          <a:r>
            <a:rPr lang="en-US" sz="1400" b="0">
              <a:latin typeface="Gadugi" panose="020B0502040204020203" pitchFamily="34" charset="0"/>
              <a:ea typeface="Gadugi" panose="020B0502040204020203" pitchFamily="34" charset="0"/>
            </a:rPr>
            <a:t>(*</a:t>
          </a:r>
          <a:r>
            <a:rPr lang="en-US" sz="1400">
              <a:latin typeface="Gadugi" panose="020B0502040204020203" pitchFamily="34" charset="0"/>
              <a:ea typeface="Gadugi" panose="020B0502040204020203" pitchFamily="34" charset="0"/>
            </a:rPr>
            <a:t>and those supporting them</a:t>
          </a:r>
          <a:r>
            <a:rPr lang="en-US" sz="1500">
              <a:latin typeface="Gadugi" panose="020B0502040204020203" pitchFamily="34" charset="0"/>
              <a:ea typeface="Gadugi" panose="020B0502040204020203" pitchFamily="34" charset="0"/>
            </a:rPr>
            <a:t>)</a:t>
          </a:r>
        </a:p>
      </dgm:t>
    </dgm:pt>
    <dgm:pt modelId="{8C22F8F2-B946-4032-BC7A-6692EA8738CF}" type="parTrans" cxnId="{C6272064-7E67-45C1-B9AD-D9556FFA814A}">
      <dgm:prSet/>
      <dgm:spPr/>
      <dgm:t>
        <a:bodyPr/>
        <a:lstStyle/>
        <a:p>
          <a:endParaRPr lang="en-US"/>
        </a:p>
      </dgm:t>
    </dgm:pt>
    <dgm:pt modelId="{9F40F6DC-DB0D-402A-A3DE-7BC8F89CCC10}" type="sibTrans" cxnId="{C6272064-7E67-45C1-B9AD-D9556FFA814A}">
      <dgm:prSet/>
      <dgm:spPr/>
      <dgm:t>
        <a:bodyPr/>
        <a:lstStyle/>
        <a:p>
          <a:endParaRPr lang="en-US"/>
        </a:p>
      </dgm:t>
    </dgm:pt>
    <dgm:pt modelId="{8CFE297B-CD44-4943-9402-41F6A5FF3F6C}">
      <dgm:prSet phldrT="[Text]"/>
      <dgm:spPr/>
      <dgm:t>
        <a:bodyPr/>
        <a:lstStyle/>
        <a:p>
          <a:r>
            <a:rPr lang="en-US" b="1">
              <a:latin typeface="Gadugi" panose="020B0502040204020203" pitchFamily="34" charset="0"/>
              <a:ea typeface="Gadugi" panose="020B0502040204020203" pitchFamily="34" charset="0"/>
            </a:rPr>
            <a:t>Building trust and rapport</a:t>
          </a:r>
        </a:p>
      </dgm:t>
    </dgm:pt>
    <dgm:pt modelId="{74358A18-7538-4D26-96FC-5076719B4E58}" type="parTrans" cxnId="{A3278FAE-654D-48A5-A9C8-3072665D4D72}">
      <dgm:prSet/>
      <dgm:spPr/>
      <dgm:t>
        <a:bodyPr/>
        <a:lstStyle/>
        <a:p>
          <a:endParaRPr lang="en-US"/>
        </a:p>
      </dgm:t>
    </dgm:pt>
    <dgm:pt modelId="{DF77A4BD-78DD-49CA-88FF-7617768FA199}" type="sibTrans" cxnId="{A3278FAE-654D-48A5-A9C8-3072665D4D72}">
      <dgm:prSet/>
      <dgm:spPr/>
      <dgm:t>
        <a:bodyPr/>
        <a:lstStyle/>
        <a:p>
          <a:endParaRPr lang="en-US"/>
        </a:p>
      </dgm:t>
    </dgm:pt>
    <dgm:pt modelId="{57E99C57-1034-454F-A511-DC118227A4A2}">
      <dgm:prSet phldrT="[Text]"/>
      <dgm:spPr/>
      <dgm:t>
        <a:bodyPr/>
        <a:lstStyle/>
        <a:p>
          <a:r>
            <a:rPr lang="en-US" b="1" kern="100" baseline="0">
              <a:latin typeface="Gadugi" panose="020B0502040204020203" pitchFamily="34" charset="0"/>
              <a:ea typeface="Gadugi" panose="020B0502040204020203" pitchFamily="34" charset="0"/>
            </a:rPr>
            <a:t>Creating safety</a:t>
          </a:r>
        </a:p>
      </dgm:t>
    </dgm:pt>
    <dgm:pt modelId="{BD39095F-7F9E-4DCA-8298-76FCF1B03431}" type="parTrans" cxnId="{EA813A24-B3BC-4AEB-8226-793E95A841FC}">
      <dgm:prSet/>
      <dgm:spPr/>
      <dgm:t>
        <a:bodyPr/>
        <a:lstStyle/>
        <a:p>
          <a:endParaRPr lang="en-US"/>
        </a:p>
      </dgm:t>
    </dgm:pt>
    <dgm:pt modelId="{39AE9A7F-B485-4121-9A45-F8D3D6FBBB37}" type="sibTrans" cxnId="{EA813A24-B3BC-4AEB-8226-793E95A841FC}">
      <dgm:prSet/>
      <dgm:spPr/>
      <dgm:t>
        <a:bodyPr/>
        <a:lstStyle/>
        <a:p>
          <a:endParaRPr lang="en-US"/>
        </a:p>
      </dgm:t>
    </dgm:pt>
    <dgm:pt modelId="{D11518D5-1076-445D-B950-3317637DF92C}">
      <dgm:prSet phldrT="[Text]"/>
      <dgm:spPr/>
      <dgm:t>
        <a:bodyPr/>
        <a:lstStyle/>
        <a:p>
          <a:r>
            <a:rPr lang="en-US" b="1">
              <a:latin typeface="Gadugi" panose="020B0502040204020203" pitchFamily="34" charset="0"/>
              <a:ea typeface="Gadugi" panose="020B0502040204020203" pitchFamily="34" charset="0"/>
            </a:rPr>
            <a:t>Enabling fun</a:t>
          </a:r>
        </a:p>
      </dgm:t>
    </dgm:pt>
    <dgm:pt modelId="{FB7C3FC5-9B98-47E5-B8CE-FF1161928574}" type="parTrans" cxnId="{4FA308E2-2021-4BA3-9851-8EB241C7B4C0}">
      <dgm:prSet/>
      <dgm:spPr/>
      <dgm:t>
        <a:bodyPr/>
        <a:lstStyle/>
        <a:p>
          <a:endParaRPr lang="en-US"/>
        </a:p>
      </dgm:t>
    </dgm:pt>
    <dgm:pt modelId="{71854CC4-8F4A-4813-A3C9-135EE5A4ABB0}" type="sibTrans" cxnId="{4FA308E2-2021-4BA3-9851-8EB241C7B4C0}">
      <dgm:prSet/>
      <dgm:spPr/>
      <dgm:t>
        <a:bodyPr/>
        <a:lstStyle/>
        <a:p>
          <a:endParaRPr lang="en-US"/>
        </a:p>
      </dgm:t>
    </dgm:pt>
    <dgm:pt modelId="{898FEFB0-0AF4-4F28-A3DB-E7E6215FA2F0}">
      <dgm:prSet phldrT="[Text]"/>
      <dgm:spPr/>
      <dgm:t>
        <a:bodyPr/>
        <a:lstStyle/>
        <a:p>
          <a:r>
            <a:rPr lang="en-US" b="1" kern="0" baseline="0">
              <a:latin typeface="Gadugi" panose="020B0502040204020203" pitchFamily="34" charset="0"/>
              <a:ea typeface="Gadugi" panose="020B0502040204020203" pitchFamily="34" charset="0"/>
            </a:rPr>
            <a:t>Facilitating empowerment</a:t>
          </a:r>
        </a:p>
      </dgm:t>
    </dgm:pt>
    <dgm:pt modelId="{4C16AB1B-25AF-478A-8866-A0ECBD0181A3}" type="parTrans" cxnId="{1BF379F8-9559-4C22-8CE9-CBABF684A68F}">
      <dgm:prSet/>
      <dgm:spPr/>
      <dgm:t>
        <a:bodyPr/>
        <a:lstStyle/>
        <a:p>
          <a:endParaRPr lang="en-US"/>
        </a:p>
      </dgm:t>
    </dgm:pt>
    <dgm:pt modelId="{19FCD4DD-1067-401A-8095-95C35A9E2D68}" type="sibTrans" cxnId="{1BF379F8-9559-4C22-8CE9-CBABF684A68F}">
      <dgm:prSet/>
      <dgm:spPr/>
      <dgm:t>
        <a:bodyPr/>
        <a:lstStyle/>
        <a:p>
          <a:endParaRPr lang="en-US"/>
        </a:p>
      </dgm:t>
    </dgm:pt>
    <dgm:pt modelId="{6A433EFE-9730-405A-A000-F93A5DE8A51F}" type="pres">
      <dgm:prSet presAssocID="{DEEE295C-0DA5-4609-8A18-CF308CA436E7}" presName="compositeShape" presStyleCnt="0">
        <dgm:presLayoutVars>
          <dgm:chMax val="7"/>
          <dgm:dir/>
          <dgm:resizeHandles val="exact"/>
        </dgm:presLayoutVars>
      </dgm:prSet>
      <dgm:spPr/>
    </dgm:pt>
    <dgm:pt modelId="{4D85D285-AFDB-41FC-A267-D0307B5DB328}" type="pres">
      <dgm:prSet presAssocID="{D131EC6A-17F2-4B28-BEE1-236BC4C4FDE6}" presName="circ1" presStyleLbl="vennNode1" presStyleIdx="0" presStyleCnt="6"/>
      <dgm:spPr>
        <a:solidFill>
          <a:srgbClr val="C7D7AC">
            <a:alpha val="50000"/>
          </a:srgbClr>
        </a:solidFill>
      </dgm:spPr>
    </dgm:pt>
    <dgm:pt modelId="{A102D688-603A-499E-81CF-A873484F4D53}" type="pres">
      <dgm:prSet presAssocID="{D131EC6A-17F2-4B28-BEE1-236BC4C4FDE6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F20876AD-9F12-4C59-8415-EB7CA0DAAF25}" type="pres">
      <dgm:prSet presAssocID="{2AE586FB-1112-4E2A-84C8-8825668DF8ED}" presName="circ2" presStyleLbl="vennNode1" presStyleIdx="1" presStyleCnt="6"/>
      <dgm:spPr>
        <a:solidFill>
          <a:srgbClr val="00D2B9">
            <a:alpha val="50000"/>
          </a:srgbClr>
        </a:solidFill>
      </dgm:spPr>
    </dgm:pt>
    <dgm:pt modelId="{DAB2EA17-6D72-4D5A-BEA4-F4AB4DB3B71C}" type="pres">
      <dgm:prSet presAssocID="{2AE586FB-1112-4E2A-84C8-8825668DF8ED}" presName="circ2Tx" presStyleLbl="revTx" presStyleIdx="0" presStyleCnt="0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</dgm:pt>
    <dgm:pt modelId="{D039D740-A49D-4621-A6A1-176D6624B7E8}" type="pres">
      <dgm:prSet presAssocID="{8CFE297B-CD44-4943-9402-41F6A5FF3F6C}" presName="circ3" presStyleLbl="vennNode1" presStyleIdx="2" presStyleCnt="6"/>
      <dgm:spPr>
        <a:solidFill>
          <a:srgbClr val="85BBD8">
            <a:alpha val="50000"/>
          </a:srgbClr>
        </a:solidFill>
      </dgm:spPr>
    </dgm:pt>
    <dgm:pt modelId="{8C9032DD-0FE1-4DEE-AD69-2850E41B6EB5}" type="pres">
      <dgm:prSet presAssocID="{8CFE297B-CD44-4943-9402-41F6A5FF3F6C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6815A606-A79D-489E-B5BD-67E5E173C4FE}" type="pres">
      <dgm:prSet presAssocID="{57E99C57-1034-454F-A511-DC118227A4A2}" presName="circ4" presStyleLbl="vennNode1" presStyleIdx="3" presStyleCnt="6"/>
      <dgm:spPr>
        <a:solidFill>
          <a:srgbClr val="E5C2E8">
            <a:alpha val="49804"/>
          </a:srgbClr>
        </a:solidFill>
      </dgm:spPr>
    </dgm:pt>
    <dgm:pt modelId="{DA52725B-DED4-4C11-9D05-04927A92B09C}" type="pres">
      <dgm:prSet presAssocID="{57E99C57-1034-454F-A511-DC118227A4A2}" presName="circ4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3474D802-0213-4457-AA23-021843D28E8B}" type="pres">
      <dgm:prSet presAssocID="{D11518D5-1076-445D-B950-3317637DF92C}" presName="circ5" presStyleLbl="vennNode1" presStyleIdx="4" presStyleCnt="6"/>
      <dgm:spPr>
        <a:solidFill>
          <a:srgbClr val="FFC3AB">
            <a:alpha val="50000"/>
          </a:srgbClr>
        </a:solidFill>
      </dgm:spPr>
    </dgm:pt>
    <dgm:pt modelId="{F48418A6-5FB4-41EF-8624-E4B9FFF8D6F3}" type="pres">
      <dgm:prSet presAssocID="{D11518D5-1076-445D-B950-3317637DF92C}" presName="circ5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D893C3F7-0CF6-4473-A995-E1EC29C5D4CD}" type="pres">
      <dgm:prSet presAssocID="{898FEFB0-0AF4-4F28-A3DB-E7E6215FA2F0}" presName="circ6" presStyleLbl="vennNode1" presStyleIdx="5" presStyleCnt="6"/>
      <dgm:spPr>
        <a:solidFill>
          <a:srgbClr val="FCE181">
            <a:alpha val="50000"/>
          </a:srgbClr>
        </a:solidFill>
      </dgm:spPr>
    </dgm:pt>
    <dgm:pt modelId="{4C92468E-517B-4160-A4C8-35B7F418CED3}" type="pres">
      <dgm:prSet presAssocID="{898FEFB0-0AF4-4F28-A3DB-E7E6215FA2F0}" presName="circ6Tx" presStyleLbl="revTx" presStyleIdx="0" presStyleCnt="0">
        <dgm:presLayoutVars>
          <dgm:chMax val="0"/>
          <dgm:chPref val="0"/>
          <dgm:bulletEnabled val="1"/>
        </dgm:presLayoutVars>
      </dgm:prSet>
      <dgm:spPr/>
    </dgm:pt>
  </dgm:ptLst>
  <dgm:cxnLst>
    <dgm:cxn modelId="{8B9F2D04-EE66-44AF-8286-A838A2CF6B47}" type="presOf" srcId="{D131EC6A-17F2-4B28-BEE1-236BC4C4FDE6}" destId="{A102D688-603A-499E-81CF-A873484F4D53}" srcOrd="0" destOrd="0" presId="urn:microsoft.com/office/officeart/2005/8/layout/venn1"/>
    <dgm:cxn modelId="{46C65707-3E4A-4345-B223-5F0730060294}" type="presOf" srcId="{D11518D5-1076-445D-B950-3317637DF92C}" destId="{F48418A6-5FB4-41EF-8624-E4B9FFF8D6F3}" srcOrd="0" destOrd="0" presId="urn:microsoft.com/office/officeart/2005/8/layout/venn1"/>
    <dgm:cxn modelId="{A0C46E0F-658C-4A57-BB5A-BB3AD2C1A232}" type="presOf" srcId="{DEEE295C-0DA5-4609-8A18-CF308CA436E7}" destId="{6A433EFE-9730-405A-A000-F93A5DE8A51F}" srcOrd="0" destOrd="0" presId="urn:microsoft.com/office/officeart/2005/8/layout/venn1"/>
    <dgm:cxn modelId="{EA813A24-B3BC-4AEB-8226-793E95A841FC}" srcId="{DEEE295C-0DA5-4609-8A18-CF308CA436E7}" destId="{57E99C57-1034-454F-A511-DC118227A4A2}" srcOrd="3" destOrd="0" parTransId="{BD39095F-7F9E-4DCA-8298-76FCF1B03431}" sibTransId="{39AE9A7F-B485-4121-9A45-F8D3D6FBBB37}"/>
    <dgm:cxn modelId="{C6272064-7E67-45C1-B9AD-D9556FFA814A}" srcId="{DEEE295C-0DA5-4609-8A18-CF308CA436E7}" destId="{2AE586FB-1112-4E2A-84C8-8825668DF8ED}" srcOrd="1" destOrd="0" parTransId="{8C22F8F2-B946-4032-BC7A-6692EA8738CF}" sibTransId="{9F40F6DC-DB0D-402A-A3DE-7BC8F89CCC10}"/>
    <dgm:cxn modelId="{D4A5776A-3472-42E1-BFE7-05141DB879BB}" srcId="{DEEE295C-0DA5-4609-8A18-CF308CA436E7}" destId="{D131EC6A-17F2-4B28-BEE1-236BC4C4FDE6}" srcOrd="0" destOrd="0" parTransId="{212AA5F3-EF3D-4A21-B7BB-226DD841E64C}" sibTransId="{300CE782-0DB4-4F26-A143-8A3CD2BFC0FB}"/>
    <dgm:cxn modelId="{0004354D-4524-4EF2-A4EA-992F6F7286F4}" type="presOf" srcId="{2AE586FB-1112-4E2A-84C8-8825668DF8ED}" destId="{DAB2EA17-6D72-4D5A-BEA4-F4AB4DB3B71C}" srcOrd="0" destOrd="0" presId="urn:microsoft.com/office/officeart/2005/8/layout/venn1"/>
    <dgm:cxn modelId="{E4BF4B56-BD35-4C8E-8422-DB81F8B38EFE}" type="presOf" srcId="{8CFE297B-CD44-4943-9402-41F6A5FF3F6C}" destId="{8C9032DD-0FE1-4DEE-AD69-2850E41B6EB5}" srcOrd="0" destOrd="0" presId="urn:microsoft.com/office/officeart/2005/8/layout/venn1"/>
    <dgm:cxn modelId="{A3278FAE-654D-48A5-A9C8-3072665D4D72}" srcId="{DEEE295C-0DA5-4609-8A18-CF308CA436E7}" destId="{8CFE297B-CD44-4943-9402-41F6A5FF3F6C}" srcOrd="2" destOrd="0" parTransId="{74358A18-7538-4D26-96FC-5076719B4E58}" sibTransId="{DF77A4BD-78DD-49CA-88FF-7617768FA199}"/>
    <dgm:cxn modelId="{F8A9B5B5-9550-449B-B7CF-2DECE0555672}" type="presOf" srcId="{57E99C57-1034-454F-A511-DC118227A4A2}" destId="{DA52725B-DED4-4C11-9D05-04927A92B09C}" srcOrd="0" destOrd="0" presId="urn:microsoft.com/office/officeart/2005/8/layout/venn1"/>
    <dgm:cxn modelId="{4FA308E2-2021-4BA3-9851-8EB241C7B4C0}" srcId="{DEEE295C-0DA5-4609-8A18-CF308CA436E7}" destId="{D11518D5-1076-445D-B950-3317637DF92C}" srcOrd="4" destOrd="0" parTransId="{FB7C3FC5-9B98-47E5-B8CE-FF1161928574}" sibTransId="{71854CC4-8F4A-4813-A3C9-135EE5A4ABB0}"/>
    <dgm:cxn modelId="{99FC8CF5-CD0E-481F-A009-4BA384FE2508}" type="presOf" srcId="{898FEFB0-0AF4-4F28-A3DB-E7E6215FA2F0}" destId="{4C92468E-517B-4160-A4C8-35B7F418CED3}" srcOrd="0" destOrd="0" presId="urn:microsoft.com/office/officeart/2005/8/layout/venn1"/>
    <dgm:cxn modelId="{1BF379F8-9559-4C22-8CE9-CBABF684A68F}" srcId="{DEEE295C-0DA5-4609-8A18-CF308CA436E7}" destId="{898FEFB0-0AF4-4F28-A3DB-E7E6215FA2F0}" srcOrd="5" destOrd="0" parTransId="{4C16AB1B-25AF-478A-8866-A0ECBD0181A3}" sibTransId="{19FCD4DD-1067-401A-8095-95C35A9E2D68}"/>
    <dgm:cxn modelId="{6137CFDB-2F2F-48AF-A2D4-66CC7057C746}" type="presParOf" srcId="{6A433EFE-9730-405A-A000-F93A5DE8A51F}" destId="{4D85D285-AFDB-41FC-A267-D0307B5DB328}" srcOrd="0" destOrd="0" presId="urn:microsoft.com/office/officeart/2005/8/layout/venn1"/>
    <dgm:cxn modelId="{FC49C900-725C-429B-A5C2-8567C39E7B5C}" type="presParOf" srcId="{6A433EFE-9730-405A-A000-F93A5DE8A51F}" destId="{A102D688-603A-499E-81CF-A873484F4D53}" srcOrd="1" destOrd="0" presId="urn:microsoft.com/office/officeart/2005/8/layout/venn1"/>
    <dgm:cxn modelId="{D6B4D92B-DF62-4538-8347-D7B3FE1EF1C8}" type="presParOf" srcId="{6A433EFE-9730-405A-A000-F93A5DE8A51F}" destId="{F20876AD-9F12-4C59-8415-EB7CA0DAAF25}" srcOrd="2" destOrd="0" presId="urn:microsoft.com/office/officeart/2005/8/layout/venn1"/>
    <dgm:cxn modelId="{2678AB01-3751-42D3-B5B8-2FAC74AF00BA}" type="presParOf" srcId="{6A433EFE-9730-405A-A000-F93A5DE8A51F}" destId="{DAB2EA17-6D72-4D5A-BEA4-F4AB4DB3B71C}" srcOrd="3" destOrd="0" presId="urn:microsoft.com/office/officeart/2005/8/layout/venn1"/>
    <dgm:cxn modelId="{469DA35F-6EA5-42A1-9364-12856BE3AEB1}" type="presParOf" srcId="{6A433EFE-9730-405A-A000-F93A5DE8A51F}" destId="{D039D740-A49D-4621-A6A1-176D6624B7E8}" srcOrd="4" destOrd="0" presId="urn:microsoft.com/office/officeart/2005/8/layout/venn1"/>
    <dgm:cxn modelId="{5610F7A0-5E0B-458E-878F-03CC85E1BAE7}" type="presParOf" srcId="{6A433EFE-9730-405A-A000-F93A5DE8A51F}" destId="{8C9032DD-0FE1-4DEE-AD69-2850E41B6EB5}" srcOrd="5" destOrd="0" presId="urn:microsoft.com/office/officeart/2005/8/layout/venn1"/>
    <dgm:cxn modelId="{30B5DF19-6418-499E-9E5B-3F7D5596C9D5}" type="presParOf" srcId="{6A433EFE-9730-405A-A000-F93A5DE8A51F}" destId="{6815A606-A79D-489E-B5BD-67E5E173C4FE}" srcOrd="6" destOrd="0" presId="urn:microsoft.com/office/officeart/2005/8/layout/venn1"/>
    <dgm:cxn modelId="{C7D40566-A84F-406E-BB2B-CBCA9D8CFB90}" type="presParOf" srcId="{6A433EFE-9730-405A-A000-F93A5DE8A51F}" destId="{DA52725B-DED4-4C11-9D05-04927A92B09C}" srcOrd="7" destOrd="0" presId="urn:microsoft.com/office/officeart/2005/8/layout/venn1"/>
    <dgm:cxn modelId="{CFDD8DBD-7CF6-4D93-AB0C-76454C7BF7FC}" type="presParOf" srcId="{6A433EFE-9730-405A-A000-F93A5DE8A51F}" destId="{3474D802-0213-4457-AA23-021843D28E8B}" srcOrd="8" destOrd="0" presId="urn:microsoft.com/office/officeart/2005/8/layout/venn1"/>
    <dgm:cxn modelId="{478CC3B7-CE35-4895-BF81-51A8CCE79A25}" type="presParOf" srcId="{6A433EFE-9730-405A-A000-F93A5DE8A51F}" destId="{F48418A6-5FB4-41EF-8624-E4B9FFF8D6F3}" srcOrd="9" destOrd="0" presId="urn:microsoft.com/office/officeart/2005/8/layout/venn1"/>
    <dgm:cxn modelId="{1E3A20A9-C7C1-4C06-8A33-6364F24FB2D4}" type="presParOf" srcId="{6A433EFE-9730-405A-A000-F93A5DE8A51F}" destId="{D893C3F7-0CF6-4473-A995-E1EC29C5D4CD}" srcOrd="10" destOrd="0" presId="urn:microsoft.com/office/officeart/2005/8/layout/venn1"/>
    <dgm:cxn modelId="{C11B0EFD-189E-46ED-9FB1-010AE2BFBA8E}" type="presParOf" srcId="{6A433EFE-9730-405A-A000-F93A5DE8A51F}" destId="{4C92468E-517B-4160-A4C8-35B7F418CED3}" srcOrd="11" destOrd="0" presId="urn:microsoft.com/office/officeart/2005/8/layout/venn1"/>
  </dgm:cxnLst>
  <dgm:bg>
    <a:noFill/>
  </dgm:bg>
  <dgm:whole>
    <a:ln w="38100">
      <a:solidFill>
        <a:srgbClr val="002060"/>
      </a:solidFill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85D285-AFDB-41FC-A267-D0307B5DB328}">
      <dsp:nvSpPr>
        <dsp:cNvPr id="0" name=""/>
        <dsp:cNvSpPr/>
      </dsp:nvSpPr>
      <dsp:spPr>
        <a:xfrm>
          <a:off x="2469522" y="1028062"/>
          <a:ext cx="1377300" cy="1377300"/>
        </a:xfrm>
        <a:prstGeom prst="ellipse">
          <a:avLst/>
        </a:prstGeom>
        <a:solidFill>
          <a:srgbClr val="C7D7AC">
            <a:alpha val="5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A102D688-603A-499E-81CF-A873484F4D53}">
      <dsp:nvSpPr>
        <dsp:cNvPr id="0" name=""/>
        <dsp:cNvSpPr/>
      </dsp:nvSpPr>
      <dsp:spPr>
        <a:xfrm>
          <a:off x="2297359" y="0"/>
          <a:ext cx="1721625" cy="937850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0" baseline="0">
              <a:latin typeface="Gadugi" panose="020B0502040204020203" pitchFamily="34" charset="0"/>
              <a:ea typeface="Gadugi" panose="020B0502040204020203" pitchFamily="34" charset="0"/>
            </a:rPr>
            <a:t>Communicating Care</a:t>
          </a:r>
        </a:p>
      </dsp:txBody>
      <dsp:txXfrm>
        <a:off x="2297359" y="0"/>
        <a:ext cx="1721625" cy="937850"/>
      </dsp:txXfrm>
    </dsp:sp>
    <dsp:sp modelId="{F20876AD-9F12-4C59-8415-EB7CA0DAAF25}">
      <dsp:nvSpPr>
        <dsp:cNvPr id="0" name=""/>
        <dsp:cNvSpPr/>
      </dsp:nvSpPr>
      <dsp:spPr>
        <a:xfrm>
          <a:off x="2916571" y="1286195"/>
          <a:ext cx="1377300" cy="1377300"/>
        </a:xfrm>
        <a:prstGeom prst="ellipse">
          <a:avLst/>
        </a:prstGeom>
        <a:solidFill>
          <a:srgbClr val="00D2B9">
            <a:alpha val="5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DAB2EA17-6D72-4D5A-BEA4-F4AB4DB3B71C}">
      <dsp:nvSpPr>
        <dsp:cNvPr id="0" name=""/>
        <dsp:cNvSpPr/>
      </dsp:nvSpPr>
      <dsp:spPr>
        <a:xfrm>
          <a:off x="4396021" y="893190"/>
          <a:ext cx="1631527" cy="1027169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7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Gadugi" panose="020B0502040204020203" pitchFamily="34" charset="0"/>
              <a:ea typeface="Gadugi" panose="020B0502040204020203" pitchFamily="34" charset="0"/>
            </a:rPr>
            <a:t>Making participants feel valued </a:t>
          </a:r>
        </a:p>
        <a:p>
          <a:pPr marL="0" lvl="0" indent="0" algn="ctr" defTabSz="711200">
            <a:lnSpc>
              <a:spcPct val="7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0" kern="1200">
              <a:latin typeface="Gadugi" panose="020B0502040204020203" pitchFamily="34" charset="0"/>
              <a:ea typeface="Gadugi" panose="020B0502040204020203" pitchFamily="34" charset="0"/>
            </a:rPr>
            <a:t>(*</a:t>
          </a:r>
          <a:r>
            <a:rPr lang="en-US" sz="1400" kern="1200">
              <a:latin typeface="Gadugi" panose="020B0502040204020203" pitchFamily="34" charset="0"/>
              <a:ea typeface="Gadugi" panose="020B0502040204020203" pitchFamily="34" charset="0"/>
            </a:rPr>
            <a:t>and those supporting them</a:t>
          </a:r>
          <a:r>
            <a:rPr lang="en-US" sz="1500" kern="1200">
              <a:latin typeface="Gadugi" panose="020B0502040204020203" pitchFamily="34" charset="0"/>
              <a:ea typeface="Gadugi" panose="020B0502040204020203" pitchFamily="34" charset="0"/>
            </a:rPr>
            <a:t>)</a:t>
          </a:r>
        </a:p>
      </dsp:txBody>
      <dsp:txXfrm>
        <a:off x="4396021" y="893190"/>
        <a:ext cx="1631527" cy="1027169"/>
      </dsp:txXfrm>
    </dsp:sp>
    <dsp:sp modelId="{D039D740-A49D-4621-A6A1-176D6624B7E8}">
      <dsp:nvSpPr>
        <dsp:cNvPr id="0" name=""/>
        <dsp:cNvSpPr/>
      </dsp:nvSpPr>
      <dsp:spPr>
        <a:xfrm>
          <a:off x="2916571" y="1802459"/>
          <a:ext cx="1377300" cy="1377300"/>
        </a:xfrm>
        <a:prstGeom prst="ellipse">
          <a:avLst/>
        </a:prstGeom>
        <a:solidFill>
          <a:srgbClr val="85BBD8">
            <a:alpha val="5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8C9032DD-0FE1-4DEE-AD69-2850E41B6EB5}">
      <dsp:nvSpPr>
        <dsp:cNvPr id="0" name=""/>
        <dsp:cNvSpPr/>
      </dsp:nvSpPr>
      <dsp:spPr>
        <a:xfrm>
          <a:off x="4396021" y="2425013"/>
          <a:ext cx="1631527" cy="1147750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>
              <a:latin typeface="Gadugi" panose="020B0502040204020203" pitchFamily="34" charset="0"/>
              <a:ea typeface="Gadugi" panose="020B0502040204020203" pitchFamily="34" charset="0"/>
            </a:rPr>
            <a:t>Building trust and rapport</a:t>
          </a:r>
        </a:p>
      </dsp:txBody>
      <dsp:txXfrm>
        <a:off x="4396021" y="2425013"/>
        <a:ext cx="1631527" cy="1147750"/>
      </dsp:txXfrm>
    </dsp:sp>
    <dsp:sp modelId="{6815A606-A79D-489E-B5BD-67E5E173C4FE}">
      <dsp:nvSpPr>
        <dsp:cNvPr id="0" name=""/>
        <dsp:cNvSpPr/>
      </dsp:nvSpPr>
      <dsp:spPr>
        <a:xfrm>
          <a:off x="2469522" y="2061038"/>
          <a:ext cx="1377300" cy="1377300"/>
        </a:xfrm>
        <a:prstGeom prst="ellipse">
          <a:avLst/>
        </a:prstGeom>
        <a:solidFill>
          <a:srgbClr val="E5C2E8">
            <a:alpha val="49804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DA52725B-DED4-4C11-9D05-04927A92B09C}">
      <dsp:nvSpPr>
        <dsp:cNvPr id="0" name=""/>
        <dsp:cNvSpPr/>
      </dsp:nvSpPr>
      <dsp:spPr>
        <a:xfrm>
          <a:off x="2297359" y="3528104"/>
          <a:ext cx="1721625" cy="937850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00" baseline="0">
              <a:latin typeface="Gadugi" panose="020B0502040204020203" pitchFamily="34" charset="0"/>
              <a:ea typeface="Gadugi" panose="020B0502040204020203" pitchFamily="34" charset="0"/>
            </a:rPr>
            <a:t>Creating safety</a:t>
          </a:r>
        </a:p>
      </dsp:txBody>
      <dsp:txXfrm>
        <a:off x="2297359" y="3528104"/>
        <a:ext cx="1721625" cy="937850"/>
      </dsp:txXfrm>
    </dsp:sp>
    <dsp:sp modelId="{3474D802-0213-4457-AA23-021843D28E8B}">
      <dsp:nvSpPr>
        <dsp:cNvPr id="0" name=""/>
        <dsp:cNvSpPr/>
      </dsp:nvSpPr>
      <dsp:spPr>
        <a:xfrm>
          <a:off x="2022473" y="1802459"/>
          <a:ext cx="1377300" cy="1377300"/>
        </a:xfrm>
        <a:prstGeom prst="ellipse">
          <a:avLst/>
        </a:prstGeom>
        <a:solidFill>
          <a:srgbClr val="FFC3AB">
            <a:alpha val="5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F48418A6-5FB4-41EF-8624-E4B9FFF8D6F3}">
      <dsp:nvSpPr>
        <dsp:cNvPr id="0" name=""/>
        <dsp:cNvSpPr/>
      </dsp:nvSpPr>
      <dsp:spPr>
        <a:xfrm>
          <a:off x="288796" y="2425013"/>
          <a:ext cx="1631527" cy="1147750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>
              <a:latin typeface="Gadugi" panose="020B0502040204020203" pitchFamily="34" charset="0"/>
              <a:ea typeface="Gadugi" panose="020B0502040204020203" pitchFamily="34" charset="0"/>
            </a:rPr>
            <a:t>Enabling fun</a:t>
          </a:r>
        </a:p>
      </dsp:txBody>
      <dsp:txXfrm>
        <a:off x="288796" y="2425013"/>
        <a:ext cx="1631527" cy="1147750"/>
      </dsp:txXfrm>
    </dsp:sp>
    <dsp:sp modelId="{D893C3F7-0CF6-4473-A995-E1EC29C5D4CD}">
      <dsp:nvSpPr>
        <dsp:cNvPr id="0" name=""/>
        <dsp:cNvSpPr/>
      </dsp:nvSpPr>
      <dsp:spPr>
        <a:xfrm>
          <a:off x="2022473" y="1286195"/>
          <a:ext cx="1377300" cy="1377300"/>
        </a:xfrm>
        <a:prstGeom prst="ellipse">
          <a:avLst/>
        </a:prstGeom>
        <a:solidFill>
          <a:srgbClr val="FCE181">
            <a:alpha val="5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4C92468E-517B-4160-A4C8-35B7F418CED3}">
      <dsp:nvSpPr>
        <dsp:cNvPr id="0" name=""/>
        <dsp:cNvSpPr/>
      </dsp:nvSpPr>
      <dsp:spPr>
        <a:xfrm>
          <a:off x="288796" y="893190"/>
          <a:ext cx="1631527" cy="1147750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0" baseline="0">
              <a:latin typeface="Gadugi" panose="020B0502040204020203" pitchFamily="34" charset="0"/>
              <a:ea typeface="Gadugi" panose="020B0502040204020203" pitchFamily="34" charset="0"/>
            </a:rPr>
            <a:t>Facilitating empowerment</a:t>
          </a:r>
        </a:p>
      </dsp:txBody>
      <dsp:txXfrm>
        <a:off x="288796" y="893190"/>
        <a:ext cx="1631527" cy="11477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Edinburgh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Camille Warrington</dc:creator>
  <keywords/>
  <dc:description/>
  <lastModifiedBy>Camille Warrington</lastModifiedBy>
  <revision>3</revision>
  <dcterms:created xsi:type="dcterms:W3CDTF">2024-04-21T17:12:00.0000000Z</dcterms:created>
  <dcterms:modified xsi:type="dcterms:W3CDTF">2024-04-22T17:14:42.8932525Z</dcterms:modified>
</coreProperties>
</file>